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0" w:type="auto"/>
        <w:jc w:val="center"/>
        <w:tblCellSpacing w:w="0" w:type="dxa"/>
        <w:shd w:val="clear" w:color="auto" w:fill="auto"/>
        <w:tblLayout w:type="autofit"/>
        <w:tblCellMar>
          <w:top w:w="0" w:type="dxa"/>
          <w:left w:w="0" w:type="dxa"/>
          <w:bottom w:w="0" w:type="dxa"/>
          <w:right w:w="0" w:type="dxa"/>
        </w:tblCellMar>
      </w:tblPr>
      <w:tblGrid>
        <w:gridCol w:w="13958"/>
      </w:tblGrid>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tbl>
            <w:tblPr>
              <w:tblW w:w="5000" w:type="pct"/>
              <w:tblInd w:w="-92" w:type="dxa"/>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Layout w:type="autofit"/>
              <w:tblCellMar>
                <w:top w:w="15" w:type="dxa"/>
                <w:left w:w="15" w:type="dxa"/>
                <w:bottom w:w="15" w:type="dxa"/>
                <w:right w:w="15" w:type="dxa"/>
              </w:tblCellMar>
            </w:tblPr>
            <w:tblGrid>
              <w:gridCol w:w="1152"/>
              <w:gridCol w:w="4515"/>
              <w:gridCol w:w="1813"/>
              <w:gridCol w:w="1365"/>
              <w:gridCol w:w="1365"/>
              <w:gridCol w:w="1813"/>
              <w:gridCol w:w="1925"/>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行政处罚决定文书号 :</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穗环法罚【2021】5号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行政相对人类别:</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法人</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处罚类别:</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罚款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违法事实:</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经我局执法人员调查发现，你公司为广州市重点排污单位，主要生产混凝土管桩，设有一台15t/h燃生物质成型燃料锅炉，配套建有一套烟气自动监控系统，由广州正虹环境科技有限公司（以下简称“正虹公司”）于2019年3月安装，已与重点污染源自动监控与基础数据库系统（国发平台）和广州市污染源自动监控平台联网，并委托正虹公司运维至今；2021年7月1日我局现场检查上述烟气自动监控系统并调阅历史数据发现，你公司烟气自动监控系统的基准氧含量参数未按照广东省《锅炉大气污染物排放标准》（DB44/765-2019）表6规定的燃生物质成型燃料锅炉基准氧含量设置为9%，以致你公司上传至国发平台和广州市污染源自动监控平台的部分污染物数据折算浓度低于实测浓度，未能真实反映你公司排污状况，即未保证烟气自动监测设备正常运行。</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处罚依据:</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中华人民共和国大气污染防治法》：违反本法规定，有下列行为之一的，由县级以上人民政府生态环境主管部门责令改正，处2万元以上20万元以下的罚款；拒不改正的，责令停产整治：(三)未按照规定安装、使用大气污染物排放自动监测设备或者未按照规定与生态环境主管部门的监控设备联网，并保证监测设备正常运行的； , 《中华人民共和国大气污染防治法》第一百条第三项</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处罚内容:</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详见处罚决定文书</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行政相对人名称:</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r>
                    <w:rPr>
                      <w:rFonts w:ascii="sans-serif" w:hAnsi="sans-serif" w:eastAsia="sans-serif" w:cs="sans-serif"/>
                      <w:i w:val="0"/>
                      <w:iCs w:val="0"/>
                      <w:caps w:val="0"/>
                      <w:color w:val="000000"/>
                      <w:spacing w:val="0"/>
                      <w:sz w:val="21"/>
                      <w:szCs w:val="21"/>
                    </w:rPr>
                    <w:t>广州兴南华</w:t>
                  </w:r>
                  <w:r>
                    <w:rPr>
                      <w:rFonts w:hint="default" w:ascii="sans-serif" w:hAnsi="sans-serif" w:eastAsia="sans-serif" w:cs="sans-serif"/>
                      <w:i w:val="0"/>
                      <w:iCs w:val="0"/>
                      <w:caps w:val="0"/>
                      <w:color w:val="000000"/>
                      <w:spacing w:val="0"/>
                      <w:sz w:val="21"/>
                      <w:szCs w:val="21"/>
                    </w:rPr>
                    <w:t>建材有限公司</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0" w:type="auto"/>
                  <w:vMerge w:val="restart"/>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行政相对人代码:</w:t>
                  </w:r>
                </w:p>
              </w:tc>
              <w:tc>
                <w:tcPr>
                  <w:tcW w:w="10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统一社会信用代码</w:t>
                  </w:r>
                </w:p>
              </w:tc>
              <w:tc>
                <w:tcPr>
                  <w:tcW w:w="7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组织机构代码</w:t>
                  </w:r>
                </w:p>
              </w:tc>
              <w:tc>
                <w:tcPr>
                  <w:tcW w:w="675"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工商登记码</w:t>
                  </w:r>
                </w:p>
              </w:tc>
              <w:tc>
                <w:tcPr>
                  <w:tcW w:w="675"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税务登记号</w:t>
                  </w:r>
                </w:p>
              </w:tc>
              <w:tc>
                <w:tcPr>
                  <w:tcW w:w="10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事业单位证书号</w:t>
                  </w:r>
                </w:p>
              </w:tc>
              <w:tc>
                <w:tcPr>
                  <w:tcW w:w="1125"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社会组织登记证号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0" w:type="auto"/>
                  <w:vMerge w:val="continue"/>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jc w:val="right"/>
                    <w:rPr>
                      <w:rFonts w:hint="eastAsia" w:ascii="微软雅黑" w:hAnsi="微软雅黑" w:eastAsia="微软雅黑" w:cs="微软雅黑"/>
                      <w:i w:val="0"/>
                      <w:iCs w:val="0"/>
                      <w:caps w:val="0"/>
                      <w:color w:val="102401"/>
                      <w:spacing w:val="0"/>
                      <w:sz w:val="18"/>
                      <w:szCs w:val="18"/>
                    </w:rPr>
                  </w:pPr>
                </w:p>
              </w:tc>
              <w:tc>
                <w:tcPr>
                  <w:tcW w:w="10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kern w:val="0"/>
                      <w:sz w:val="18"/>
                      <w:szCs w:val="18"/>
                      <w:bdr w:val="none" w:color="auto" w:sz="0" w:space="0"/>
                      <w:lang w:val="en-US" w:eastAsia="zh-CN" w:bidi="ar"/>
                    </w:rPr>
                    <w:t>91440183567942912T</w:t>
                  </w:r>
                </w:p>
              </w:tc>
              <w:tc>
                <w:tcPr>
                  <w:tcW w:w="10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90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法人代表姓名:</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王铁牛</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法定代表人证件号码: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kern w:val="0"/>
                      <w:sz w:val="18"/>
                      <w:szCs w:val="18"/>
                      <w:bdr w:val="none" w:color="auto" w:sz="0" w:space="0"/>
                      <w:lang w:val="en-US" w:eastAsia="zh-CN" w:bidi="ar"/>
                    </w:rPr>
                    <w:t>440112***********3</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证件类型:</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违法行为类型:</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中华人民共和国大气污染防治法》：企业事业单位和其他生产经营者应当按照国家有关规定和监测规范，对其排放的工业废气和本法第七十八条规定名录中所列有毒有害大气污染物进行监测，并保存原始监测记录。其中，重点排污单位应当安装、使用大气污染物排放自动监测设备，与生态环境主管部门的监控设备联网，保证监测设备正常运行并依法公开排放信息。监测的具体办法和重点排污单位的条件由国务院生态环境主管部门规定。 , 《中华人民共和国大气污染防治法》第二十四条第一款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罚款金额（万元）: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8</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没收违法所得、没收非法财物的金额（万元）: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暂扣或吊销证照名称及编号:</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处罚决定日期:</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2021/09/30</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处罚有效期:</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公示截止期:</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处罚机关:</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处罚机关统一社会信用代码: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数据来源单位:</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数据来源单位统一社会信用代码: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bdr w:val="none" w:color="auto" w:sz="0" w:space="0"/>
                      <w:lang w:val="en-US" w:eastAsia="zh-CN" w:bidi="ar"/>
                    </w:rPr>
                    <w:t>备注:</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bdr w:val="none" w:color="auto" w:sz="0" w:space="0"/>
                      <w:lang w:val="en-US" w:eastAsia="zh-CN" w:bidi="ar"/>
                    </w:rPr>
                    <w:t>/</w:t>
                  </w:r>
                </w:p>
              </w:tc>
            </w:tr>
          </w:tbl>
          <w:p>
            <w:pPr>
              <w:jc w:val="center"/>
              <w:rPr>
                <w:rFonts w:ascii="微软雅黑" w:hAnsi="微软雅黑" w:eastAsia="微软雅黑" w:cs="微软雅黑"/>
                <w:i w:val="0"/>
                <w:iCs w:val="0"/>
                <w:caps w:val="0"/>
                <w:color w:val="000000"/>
                <w:spacing w:val="0"/>
                <w:sz w:val="27"/>
                <w:szCs w:val="27"/>
              </w:rPr>
            </w:pPr>
          </w:p>
        </w:tc>
      </w:tr>
      <w:tr>
        <w:tblPrEx>
          <w:tblCellMar>
            <w:top w:w="0" w:type="dxa"/>
            <w:left w:w="0" w:type="dxa"/>
            <w:bottom w:w="0" w:type="dxa"/>
            <w:right w:w="0" w:type="dxa"/>
          </w:tblCellMar>
        </w:tblPrEx>
        <w:trPr>
          <w:tblCellSpacing w:w="0" w:type="dxa"/>
          <w:jc w:val="center"/>
        </w:trPr>
        <w:tc>
          <w:tcPr>
            <w:tcW w:w="0" w:type="auto"/>
            <w:shd w:val="clear" w:color="auto" w:fill="auto"/>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Style w:val="6"/>
                <w:rFonts w:hint="eastAsia" w:ascii="微软雅黑" w:hAnsi="微软雅黑" w:eastAsia="微软雅黑" w:cs="微软雅黑"/>
                <w:i w:val="0"/>
                <w:iCs w:val="0"/>
                <w:caps w:val="0"/>
                <w:color w:val="000000"/>
                <w:spacing w:val="0"/>
                <w:kern w:val="0"/>
                <w:sz w:val="32"/>
                <w:szCs w:val="32"/>
                <w:lang w:val="en-US" w:eastAsia="zh-CN" w:bidi="ar"/>
              </w:rPr>
              <w:t>全文信息</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pStyle w:val="3"/>
              <w:keepNext w:val="0"/>
              <w:keepLines w:val="0"/>
              <w:widowControl/>
              <w:suppressLineNumbers w:val="0"/>
              <w:ind w:left="0" w:right="0"/>
              <w:jc w:val="right"/>
            </w:pPr>
            <w:r>
              <w:rPr>
                <w:rFonts w:hint="eastAsia" w:ascii="微软雅黑" w:hAnsi="微软雅黑" w:eastAsia="微软雅黑" w:cs="微软雅黑"/>
                <w:i w:val="0"/>
                <w:iCs w:val="0"/>
                <w:caps w:val="0"/>
                <w:color w:val="000000"/>
                <w:spacing w:val="0"/>
                <w:sz w:val="24"/>
                <w:szCs w:val="24"/>
              </w:rPr>
              <w:t> </w:t>
            </w:r>
            <w:r>
              <w:rPr>
                <w:rFonts w:hint="eastAsia" w:ascii="微软雅黑" w:hAnsi="微软雅黑" w:eastAsia="微软雅黑" w:cs="微软雅黑"/>
                <w:i w:val="0"/>
                <w:iCs w:val="0"/>
                <w:caps w:val="0"/>
                <w:color w:val="000000"/>
                <w:spacing w:val="0"/>
                <w:sz w:val="24"/>
                <w:szCs w:val="24"/>
              </w:rPr>
              <w:br w:type="textWrapping"/>
            </w:r>
            <w:r>
              <w:rPr>
                <w:rFonts w:hint="eastAsia" w:ascii="微软雅黑" w:hAnsi="微软雅黑" w:eastAsia="微软雅黑" w:cs="微软雅黑"/>
                <w:i w:val="0"/>
                <w:iCs w:val="0"/>
                <w:caps w:val="0"/>
                <w:color w:val="000000"/>
                <w:spacing w:val="0"/>
                <w:sz w:val="24"/>
                <w:szCs w:val="24"/>
              </w:rPr>
              <w:t> </w:t>
            </w:r>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right"/>
            </w:pPr>
            <w:r>
              <w:rPr>
                <w:rFonts w:hint="eastAsia" w:ascii="仿宋_GB2312" w:hAnsi="Times New Roman" w:eastAsia="仿宋_GB2312" w:cs="仿宋_GB2312"/>
                <w:i w:val="0"/>
                <w:iCs w:val="0"/>
                <w:caps w:val="0"/>
                <w:color w:val="000000"/>
                <w:spacing w:val="0"/>
                <w:sz w:val="32"/>
                <w:szCs w:val="32"/>
              </w:rPr>
              <w:t>穗环法罚〔2021〕5号</w:t>
            </w: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center"/>
            </w:pPr>
            <w:r>
              <w:rPr>
                <w:rFonts w:ascii="方正小标宋简体" w:hAnsi="方正小标宋简体" w:eastAsia="方正小标宋简体" w:cs="方正小标宋简体"/>
                <w:i w:val="0"/>
                <w:iCs w:val="0"/>
                <w:caps w:val="0"/>
                <w:color w:val="000000"/>
                <w:spacing w:val="0"/>
                <w:sz w:val="44"/>
                <w:szCs w:val="44"/>
              </w:rPr>
              <w:t>行政处罚决定书</w:t>
            </w:r>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当事人：</w:t>
            </w:r>
            <w:r>
              <w:rPr>
                <w:rFonts w:hint="eastAsia" w:ascii="仿宋" w:hAnsi="仿宋" w:eastAsia="仿宋" w:cs="仿宋"/>
                <w:i w:val="0"/>
                <w:iCs w:val="0"/>
                <w:caps w:val="0"/>
                <w:color w:val="000000"/>
                <w:spacing w:val="0"/>
                <w:sz w:val="32"/>
                <w:szCs w:val="32"/>
              </w:rPr>
              <w:t>广州兴南华建材有限公司</w:t>
            </w:r>
          </w:p>
          <w:p>
            <w:pPr>
              <w:pStyle w:val="3"/>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统一社会信用代码：</w:t>
            </w:r>
            <w:r>
              <w:rPr>
                <w:rFonts w:hint="default" w:ascii="Times New Roman" w:hAnsi="Times New Roman" w:eastAsia="微软雅黑" w:cs="Times New Roman"/>
                <w:i w:val="0"/>
                <w:iCs w:val="0"/>
                <w:caps w:val="0"/>
                <w:color w:val="000000"/>
                <w:spacing w:val="0"/>
                <w:sz w:val="32"/>
                <w:szCs w:val="32"/>
              </w:rPr>
              <w:t>91440183567942912T</w:t>
            </w:r>
          </w:p>
          <w:p>
            <w:pPr>
              <w:pStyle w:val="3"/>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地</w:t>
            </w:r>
            <w:r>
              <w:rPr>
                <w:rFonts w:hint="default" w:ascii="Times New Roman" w:hAnsi="Times New Roman" w:eastAsia="微软雅黑" w:cs="Times New Roman"/>
                <w:i w:val="0"/>
                <w:iCs w:val="0"/>
                <w:caps w:val="0"/>
                <w:color w:val="000000"/>
                <w:spacing w:val="0"/>
                <w:sz w:val="21"/>
                <w:szCs w:val="21"/>
              </w:rPr>
              <w:t>  </w:t>
            </w:r>
            <w:r>
              <w:rPr>
                <w:rFonts w:hint="default" w:ascii="仿宋_GB2312" w:hAnsi="Times New Roman" w:eastAsia="仿宋_GB2312" w:cs="仿宋_GB2312"/>
                <w:i w:val="0"/>
                <w:iCs w:val="0"/>
                <w:caps w:val="0"/>
                <w:color w:val="000000"/>
                <w:spacing w:val="0"/>
                <w:sz w:val="32"/>
                <w:szCs w:val="32"/>
              </w:rPr>
              <w:t>址：广州市增城区中新镇霞迳村霞迳冚</w:t>
            </w:r>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tabs>
                <w:tab w:val="left" w:pos="7982"/>
              </w:tabs>
              <w:spacing w:line="560" w:lineRule="exact"/>
              <w:ind w:right="368" w:firstLine="640" w:firstLineChars="200"/>
              <w:rPr>
                <w:rFonts w:hint="default" w:ascii="仿宋_GB2312" w:hAnsi="Times New Roman" w:eastAsia="仿宋_GB2312" w:cs="仿宋_GB2312"/>
                <w:i w:val="0"/>
                <w:iCs w:val="0"/>
                <w:caps w:val="0"/>
                <w:color w:val="000000"/>
                <w:spacing w:val="0"/>
                <w:sz w:val="32"/>
                <w:szCs w:val="32"/>
              </w:rPr>
            </w:pPr>
            <w:r>
              <w:rPr>
                <w:rFonts w:hint="default" w:ascii="仿宋_GB2312" w:hAnsi="Times New Roman" w:eastAsia="仿宋_GB2312" w:cs="仿宋_GB2312"/>
                <w:i w:val="0"/>
                <w:iCs w:val="0"/>
                <w:caps w:val="0"/>
                <w:color w:val="000000"/>
                <w:spacing w:val="0"/>
                <w:sz w:val="32"/>
                <w:szCs w:val="32"/>
              </w:rPr>
              <w:t>经我局执法人员调查发现，当事人为广州市重点排污单位，主要生产混凝土管桩，设有一台15t/h燃生物质成型燃料锅炉，配套建有一套烟气自动监控系统，由广州正虹环境科技有限公司（以下简称“正虹公司”）于2019年3月安装，已与重点污染源自动监控与基础数据库系统（国发平台）和广州市污染源自动监控平台联网，并委托正虹公司运维至今；2021年7月1日我局现场检查上述烟气自动监控系统并调阅历史数据发现，当事人烟气自动监控系统的基准氧含量参数未按照广东省《锅炉大气污染物排放标准》（DB44/765-2019）表6规定的燃生物质成型燃料锅炉基准氧含量设置为9%，以致当事人上传至国发平台和广州市污染源自动监控平台的部分污染物数据折算浓度低于实测浓度，未能真实反映当事人排污状况，即未保证烟气自动监测设备正常运行。</w:t>
            </w:r>
          </w:p>
          <w:p>
            <w:pPr>
              <w:pStyle w:val="2"/>
              <w:tabs>
                <w:tab w:val="left" w:pos="7982"/>
              </w:tabs>
              <w:spacing w:line="560" w:lineRule="exact"/>
              <w:ind w:right="368" w:firstLine="640" w:firstLineChars="200"/>
              <w:rPr>
                <w:rFonts w:hint="default" w:ascii="仿宋_GB2312" w:hAnsi="Times New Roman" w:eastAsia="仿宋_GB2312" w:cs="仿宋_GB2312"/>
                <w:i w:val="0"/>
                <w:iCs w:val="0"/>
                <w:caps w:val="0"/>
                <w:color w:val="000000"/>
                <w:spacing w:val="0"/>
                <w:sz w:val="32"/>
                <w:szCs w:val="32"/>
              </w:rPr>
            </w:pPr>
            <w:r>
              <w:rPr>
                <w:rFonts w:hint="default" w:ascii="仿宋_GB2312" w:hAnsi="Times New Roman" w:eastAsia="仿宋_GB2312" w:cs="仿宋_GB2312"/>
                <w:i w:val="0"/>
                <w:iCs w:val="0"/>
                <w:caps w:val="0"/>
                <w:color w:val="000000"/>
                <w:spacing w:val="0"/>
                <w:sz w:val="32"/>
                <w:szCs w:val="32"/>
              </w:rPr>
              <w:t>另查明，2021年7月7日我局再次现场检查时，正虹公司运维人员现场将当事人烟气自动监控系统的基准氧含量由“15%”改为“9%”。</w:t>
            </w:r>
          </w:p>
          <w:p>
            <w:pPr>
              <w:pStyle w:val="2"/>
              <w:tabs>
                <w:tab w:val="left" w:pos="7982"/>
              </w:tabs>
              <w:spacing w:line="560" w:lineRule="exact"/>
              <w:ind w:right="368" w:firstLine="640" w:firstLineChars="200"/>
              <w:rPr>
                <w:rFonts w:hint="default" w:ascii="仿宋_GB2312" w:hAnsi="Times New Roman" w:eastAsia="仿宋_GB2312" w:cs="仿宋_GB2312"/>
                <w:i w:val="0"/>
                <w:iCs w:val="0"/>
                <w:caps w:val="0"/>
                <w:color w:val="000000"/>
                <w:spacing w:val="0"/>
                <w:sz w:val="32"/>
                <w:szCs w:val="32"/>
              </w:rPr>
            </w:pPr>
            <w:r>
              <w:rPr>
                <w:rFonts w:hint="default" w:ascii="仿宋_GB2312" w:hAnsi="Times New Roman" w:eastAsia="仿宋_GB2312" w:cs="仿宋_GB2312"/>
                <w:i w:val="0"/>
                <w:iCs w:val="0"/>
                <w:caps w:val="0"/>
                <w:color w:val="000000"/>
                <w:spacing w:val="0"/>
                <w:sz w:val="32"/>
                <w:szCs w:val="32"/>
              </w:rPr>
              <w:t>以上事实，有现场检查笔录、调查询问笔录、国发平台数据、购销合同、烟气在线监测系统运营维护合同、环评批复和验收文件、现场检查照片等证据为证。</w:t>
            </w:r>
          </w:p>
          <w:p>
            <w:pPr>
              <w:pStyle w:val="2"/>
              <w:tabs>
                <w:tab w:val="left" w:pos="7982"/>
              </w:tabs>
              <w:spacing w:line="560" w:lineRule="exact"/>
              <w:ind w:right="368" w:firstLine="640" w:firstLineChars="200"/>
              <w:rPr>
                <w:rFonts w:hint="eastAsia" w:ascii="仿宋_GB2312" w:hAnsi="仿宋" w:eastAsia="仿宋_GB2312"/>
                <w:color w:val="000000"/>
                <w:sz w:val="32"/>
                <w:szCs w:val="32"/>
              </w:rPr>
            </w:pPr>
            <w:bookmarkStart w:id="0" w:name="_GoBack"/>
            <w:bookmarkEnd w:id="0"/>
            <w:r>
              <w:rPr>
                <w:rFonts w:hint="eastAsia" w:ascii="仿宋_GB2312" w:hAnsi="仿宋" w:eastAsia="仿宋_GB2312"/>
                <w:color w:val="000000"/>
                <w:sz w:val="32"/>
                <w:szCs w:val="32"/>
              </w:rPr>
              <w:t>当事人未保证烟气自动监测设备正常运行的行为违反了《中华人民共和国大气污染防治法》第二十四条第一款、第二十五条的规定。我局于</w:t>
            </w:r>
            <w:r>
              <w:rPr>
                <w:rFonts w:hint="eastAsia" w:hAnsi="仿宋" w:eastAsia="仿宋"/>
                <w:color w:val="000000"/>
                <w:sz w:val="32"/>
                <w:szCs w:val="32"/>
                <w:u w:val="none"/>
              </w:rPr>
              <w:t>2021</w:t>
            </w:r>
            <w:r>
              <w:rPr>
                <w:rFonts w:hint="eastAsia" w:ascii="仿宋_GB2312" w:hAnsi="仿宋" w:eastAsia="仿宋_GB2312"/>
                <w:color w:val="000000"/>
                <w:sz w:val="32"/>
                <w:szCs w:val="32"/>
              </w:rPr>
              <w:t>年</w:t>
            </w:r>
            <w:r>
              <w:rPr>
                <w:rFonts w:hint="eastAsia" w:hAnsi="仿宋" w:eastAsia="仿宋"/>
                <w:color w:val="000000"/>
                <w:sz w:val="32"/>
                <w:szCs w:val="32"/>
                <w:u w:val="none"/>
              </w:rPr>
              <w:t>8</w:t>
            </w:r>
            <w:r>
              <w:rPr>
                <w:rFonts w:hint="eastAsia" w:ascii="仿宋_GB2312" w:hAnsi="仿宋" w:eastAsia="仿宋_GB2312"/>
                <w:color w:val="000000"/>
                <w:sz w:val="32"/>
                <w:szCs w:val="32"/>
              </w:rPr>
              <w:t>月</w:t>
            </w:r>
            <w:r>
              <w:rPr>
                <w:rFonts w:hint="eastAsia" w:hAnsi="仿宋" w:eastAsia="仿宋"/>
                <w:color w:val="000000"/>
                <w:sz w:val="32"/>
                <w:szCs w:val="32"/>
                <w:u w:val="none"/>
              </w:rPr>
              <w:t>17</w:t>
            </w:r>
            <w:r>
              <w:rPr>
                <w:rFonts w:hAnsi="仿宋" w:eastAsia="仿宋"/>
                <w:color w:val="000000"/>
                <w:sz w:val="32"/>
                <w:szCs w:val="32"/>
                <w:u w:val="none"/>
              </w:rPr>
              <w:t xml:space="preserve"> </w:t>
            </w:r>
            <w:r>
              <w:rPr>
                <w:rFonts w:hint="eastAsia" w:ascii="仿宋_GB2312" w:hAnsi="仿宋" w:eastAsia="仿宋_GB2312"/>
                <w:color w:val="000000"/>
                <w:sz w:val="32"/>
                <w:szCs w:val="32"/>
              </w:rPr>
              <w:t>日向当事人送达《行政处罚听证告知书》（穗</w:t>
            </w:r>
            <w:r>
              <w:rPr>
                <w:rFonts w:hint="eastAsia" w:ascii="仿宋_GB2312" w:hAnsi="仿宋" w:eastAsia="仿宋_GB2312" w:cs="Times New Roman"/>
                <w:color w:val="000000"/>
                <w:sz w:val="32"/>
                <w:szCs w:val="32"/>
              </w:rPr>
              <w:t>环法告〔</w:t>
            </w:r>
            <w:r>
              <w:rPr>
                <w:rFonts w:hAnsi="仿宋" w:eastAsia="仿宋" w:cs="Times New Roman"/>
                <w:color w:val="000000"/>
                <w:sz w:val="32"/>
                <w:szCs w:val="32"/>
              </w:rPr>
              <w:t>20</w:t>
            </w:r>
            <w:r>
              <w:rPr>
                <w:rFonts w:hint="eastAsia" w:hAnsi="仿宋" w:eastAsia="仿宋" w:cs="Times New Roman"/>
                <w:color w:val="000000"/>
                <w:sz w:val="32"/>
                <w:szCs w:val="32"/>
              </w:rPr>
              <w:t>21</w:t>
            </w:r>
            <w:r>
              <w:rPr>
                <w:rFonts w:hint="eastAsia" w:ascii="仿宋_GB2312" w:hAnsi="仿宋" w:eastAsia="仿宋_GB2312" w:cs="Times New Roman"/>
                <w:color w:val="000000"/>
                <w:sz w:val="32"/>
                <w:szCs w:val="32"/>
              </w:rPr>
              <w:t>〕</w:t>
            </w:r>
            <w:r>
              <w:rPr>
                <w:rFonts w:hint="eastAsia" w:hAnsi="仿宋" w:eastAsia="仿宋" w:cs="Times New Roman"/>
                <w:color w:val="000000"/>
                <w:sz w:val="32"/>
                <w:szCs w:val="32"/>
              </w:rPr>
              <w:t>7</w:t>
            </w:r>
            <w:r>
              <w:rPr>
                <w:rFonts w:hint="eastAsia" w:ascii="仿宋_GB2312" w:hAnsi="仿宋" w:eastAsia="仿宋_GB2312" w:cs="Times New Roman"/>
                <w:color w:val="000000"/>
                <w:sz w:val="32"/>
                <w:szCs w:val="32"/>
              </w:rPr>
              <w:t>号</w:t>
            </w:r>
            <w:r>
              <w:rPr>
                <w:rFonts w:hint="eastAsia" w:ascii="仿宋_GB2312" w:hAnsi="仿宋" w:eastAsia="仿宋_GB2312"/>
                <w:color w:val="000000"/>
                <w:sz w:val="32"/>
                <w:szCs w:val="32"/>
              </w:rPr>
              <w:t>），告知当事人拟作出的处罚内容及事实、理由、依据，并告知了陈述、申辩和要求听证的权利。当事人在法定期限内未提出听证申请，但</w:t>
            </w:r>
            <w:r>
              <w:rPr>
                <w:rFonts w:hint="eastAsia" w:ascii="仿宋_GB2312" w:hAnsi="仿宋" w:eastAsia="仿宋_GB2312"/>
                <w:color w:val="000000"/>
                <w:sz w:val="32"/>
                <w:szCs w:val="32"/>
                <w:u w:val="none"/>
              </w:rPr>
              <w:t>于</w:t>
            </w:r>
            <w:r>
              <w:rPr>
                <w:rFonts w:hint="eastAsia" w:hAnsi="仿宋" w:eastAsia="仿宋"/>
                <w:color w:val="000000"/>
                <w:sz w:val="32"/>
                <w:szCs w:val="32"/>
                <w:u w:val="none"/>
              </w:rPr>
              <w:t>2021</w:t>
            </w:r>
            <w:r>
              <w:rPr>
                <w:rFonts w:hint="eastAsia" w:ascii="仿宋_GB2312" w:hAnsi="仿宋" w:eastAsia="仿宋_GB2312"/>
                <w:color w:val="000000"/>
                <w:sz w:val="32"/>
                <w:szCs w:val="32"/>
                <w:u w:val="none"/>
              </w:rPr>
              <w:t>年</w:t>
            </w:r>
            <w:r>
              <w:rPr>
                <w:rFonts w:hint="eastAsia" w:hAnsi="仿宋" w:eastAsia="仿宋"/>
                <w:color w:val="000000"/>
                <w:sz w:val="32"/>
                <w:szCs w:val="32"/>
                <w:u w:val="none"/>
              </w:rPr>
              <w:t>8</w:t>
            </w:r>
            <w:r>
              <w:rPr>
                <w:rFonts w:hint="eastAsia" w:ascii="仿宋_GB2312" w:hAnsi="仿宋" w:eastAsia="仿宋_GB2312"/>
                <w:color w:val="000000"/>
                <w:sz w:val="32"/>
                <w:szCs w:val="32"/>
                <w:u w:val="none"/>
              </w:rPr>
              <w:t>月</w:t>
            </w:r>
            <w:r>
              <w:rPr>
                <w:rFonts w:hint="eastAsia" w:hAnsi="仿宋" w:eastAsia="仿宋"/>
                <w:color w:val="000000"/>
                <w:sz w:val="32"/>
                <w:szCs w:val="32"/>
                <w:u w:val="none"/>
              </w:rPr>
              <w:t>18</w:t>
            </w:r>
            <w:r>
              <w:rPr>
                <w:rFonts w:hint="eastAsia" w:ascii="仿宋_GB2312" w:hAnsi="仿宋" w:eastAsia="仿宋_GB2312"/>
                <w:color w:val="000000"/>
                <w:sz w:val="32"/>
                <w:szCs w:val="32"/>
                <w:u w:val="none"/>
              </w:rPr>
              <w:t>日向我局</w:t>
            </w:r>
            <w:r>
              <w:rPr>
                <w:rFonts w:hint="eastAsia" w:ascii="仿宋_GB2312" w:hAnsi="仿宋" w:eastAsia="仿宋_GB2312"/>
                <w:color w:val="000000"/>
                <w:sz w:val="32"/>
                <w:szCs w:val="32"/>
              </w:rPr>
              <w:t>提交了陈述申辩书，其主要意见</w:t>
            </w:r>
            <w:r>
              <w:rPr>
                <w:rFonts w:hint="eastAsia" w:ascii="仿宋_GB2312" w:hAnsi="仿宋" w:eastAsia="仿宋_GB2312"/>
                <w:color w:val="000000"/>
                <w:sz w:val="32"/>
                <w:szCs w:val="32"/>
                <w:u w:val="none"/>
              </w:rPr>
              <w:t>如下：</w:t>
            </w:r>
            <w:r>
              <w:rPr>
                <w:rFonts w:hint="eastAsia" w:hAnsi="仿宋" w:eastAsia="仿宋"/>
                <w:color w:val="000000"/>
                <w:sz w:val="32"/>
                <w:szCs w:val="32"/>
              </w:rPr>
              <w:t>1</w:t>
            </w:r>
            <w:r>
              <w:rPr>
                <w:rFonts w:hint="eastAsia" w:ascii="仿宋_GB2312" w:hAnsi="仿宋" w:eastAsia="仿宋_GB2312"/>
                <w:color w:val="000000"/>
                <w:sz w:val="32"/>
                <w:szCs w:val="32"/>
              </w:rPr>
              <w:t>、该司在此之前对烟气在线监测系统基准氧含量参数设置及其计算公式并不清楚，每天都是根据在线监测仪器的数据来进行控制烟气排放；</w:t>
            </w:r>
            <w:r>
              <w:rPr>
                <w:rFonts w:hint="eastAsia" w:hAnsi="仿宋" w:eastAsia="仿宋"/>
                <w:color w:val="000000"/>
                <w:sz w:val="32"/>
                <w:szCs w:val="32"/>
              </w:rPr>
              <w:t>2</w:t>
            </w:r>
            <w:r>
              <w:rPr>
                <w:rFonts w:hint="eastAsia" w:ascii="仿宋_GB2312" w:hAnsi="仿宋" w:eastAsia="仿宋_GB2312"/>
                <w:color w:val="000000"/>
                <w:sz w:val="32"/>
                <w:szCs w:val="32"/>
              </w:rPr>
              <w:t>、此前环保检查并未发现在线监测系统有问题，因此，该司一直认为在线监测系统是正常运行，未及时发现基准氧含量参数设置错误；</w:t>
            </w:r>
            <w:r>
              <w:rPr>
                <w:rFonts w:hint="eastAsia" w:hAnsi="仿宋" w:eastAsia="仿宋"/>
                <w:color w:val="000000"/>
                <w:sz w:val="32"/>
                <w:szCs w:val="32"/>
              </w:rPr>
              <w:t>3</w:t>
            </w:r>
            <w:r>
              <w:rPr>
                <w:rFonts w:hint="eastAsia" w:ascii="仿宋_GB2312" w:hAnsi="仿宋" w:eastAsia="仿宋_GB2312"/>
                <w:color w:val="000000"/>
                <w:sz w:val="32"/>
                <w:szCs w:val="32"/>
              </w:rPr>
              <w:t>、该司认为氧含量无论设置</w:t>
            </w:r>
            <w:r>
              <w:rPr>
                <w:rFonts w:hint="eastAsia" w:hAnsi="仿宋" w:eastAsia="仿宋"/>
                <w:color w:val="000000"/>
                <w:sz w:val="32"/>
                <w:szCs w:val="32"/>
              </w:rPr>
              <w:t>15%</w:t>
            </w:r>
            <w:r>
              <w:rPr>
                <w:rFonts w:hint="eastAsia" w:ascii="仿宋_GB2312" w:hAnsi="仿宋" w:eastAsia="仿宋_GB2312"/>
                <w:color w:val="000000"/>
                <w:sz w:val="32"/>
                <w:szCs w:val="32"/>
              </w:rPr>
              <w:t>还是</w:t>
            </w:r>
            <w:r>
              <w:rPr>
                <w:rFonts w:hint="eastAsia" w:hAnsi="仿宋" w:eastAsia="仿宋"/>
                <w:color w:val="000000"/>
                <w:sz w:val="32"/>
                <w:szCs w:val="32"/>
              </w:rPr>
              <w:t>9%</w:t>
            </w:r>
            <w:r>
              <w:rPr>
                <w:rFonts w:hint="eastAsia" w:ascii="仿宋_GB2312" w:hAnsi="仿宋" w:eastAsia="仿宋_GB2312"/>
                <w:color w:val="000000"/>
                <w:sz w:val="32"/>
                <w:szCs w:val="32"/>
              </w:rPr>
              <w:t>，该司都是达标排放，并未造成污染；</w:t>
            </w:r>
            <w:r>
              <w:rPr>
                <w:rFonts w:hint="eastAsia" w:hAnsi="仿宋" w:eastAsia="仿宋"/>
                <w:color w:val="000000"/>
                <w:sz w:val="32"/>
                <w:szCs w:val="32"/>
              </w:rPr>
              <w:t>4</w:t>
            </w:r>
            <w:r>
              <w:rPr>
                <w:rFonts w:hint="eastAsia" w:ascii="仿宋_GB2312" w:hAnsi="仿宋" w:eastAsia="仿宋_GB2312"/>
                <w:color w:val="000000"/>
                <w:sz w:val="32"/>
                <w:szCs w:val="32"/>
              </w:rPr>
              <w:t>、该司于</w:t>
            </w:r>
            <w:r>
              <w:rPr>
                <w:rFonts w:hint="eastAsia" w:hAnsi="仿宋" w:eastAsia="仿宋"/>
                <w:color w:val="000000"/>
                <w:sz w:val="32"/>
                <w:szCs w:val="32"/>
              </w:rPr>
              <w:t>8</w:t>
            </w:r>
            <w:r>
              <w:rPr>
                <w:rFonts w:hint="eastAsia" w:ascii="仿宋_GB2312" w:hAnsi="仿宋" w:eastAsia="仿宋_GB2312"/>
                <w:color w:val="000000"/>
                <w:sz w:val="32"/>
                <w:szCs w:val="32"/>
              </w:rPr>
              <w:t>月</w:t>
            </w:r>
            <w:r>
              <w:rPr>
                <w:rFonts w:hint="eastAsia" w:hAnsi="仿宋" w:eastAsia="仿宋"/>
                <w:color w:val="000000"/>
                <w:sz w:val="32"/>
                <w:szCs w:val="32"/>
              </w:rPr>
              <w:t>1</w:t>
            </w:r>
            <w:r>
              <w:rPr>
                <w:rFonts w:hint="eastAsia" w:ascii="仿宋_GB2312" w:hAnsi="仿宋" w:eastAsia="仿宋_GB2312"/>
                <w:color w:val="000000"/>
                <w:sz w:val="32"/>
                <w:szCs w:val="32"/>
              </w:rPr>
              <w:t>日加装一套脱硫脱硝装置，氮氧化物的排放值和其他数值均达标排放；</w:t>
            </w:r>
            <w:r>
              <w:rPr>
                <w:rFonts w:hint="eastAsia" w:hAnsi="仿宋" w:eastAsia="仿宋"/>
                <w:color w:val="000000"/>
                <w:sz w:val="32"/>
                <w:szCs w:val="32"/>
              </w:rPr>
              <w:t>5</w:t>
            </w:r>
            <w:r>
              <w:rPr>
                <w:rFonts w:hint="eastAsia" w:ascii="仿宋_GB2312" w:hAnsi="仿宋" w:eastAsia="仿宋_GB2312"/>
                <w:color w:val="000000"/>
                <w:sz w:val="32"/>
                <w:szCs w:val="32"/>
              </w:rPr>
              <w:t>、考虑该司的实际情况，以及目前疫情反复、经济环境恶劣、企业经营困难的情况，希望给予减免处罚。</w:t>
            </w:r>
          </w:p>
          <w:p>
            <w:pPr>
              <w:pStyle w:val="2"/>
              <w:tabs>
                <w:tab w:val="left" w:pos="7982"/>
                <w:tab w:val="left" w:pos="8080"/>
                <w:tab w:val="left" w:pos="8222"/>
              </w:tabs>
              <w:spacing w:line="560" w:lineRule="exact"/>
              <w:ind w:right="226"/>
              <w:rPr>
                <w:rFonts w:hint="eastAsia" w:ascii="仿宋_GB2312" w:eastAsia="仿宋_GB2312"/>
                <w:color w:val="000000"/>
                <w:sz w:val="32"/>
                <w:szCs w:val="32"/>
              </w:rPr>
            </w:pPr>
            <w:r>
              <w:rPr>
                <w:rFonts w:hint="eastAsia" w:ascii="仿宋_GB2312" w:hAnsi="仿宋" w:eastAsia="仿宋_GB2312"/>
                <w:color w:val="000000"/>
                <w:sz w:val="32"/>
                <w:szCs w:val="32"/>
              </w:rPr>
              <w:t xml:space="preserve">    经审查，我局认为，当事人作为排污主体及我市重点排污单位，负有保证烟气自动监测设备正常运行的法定义务，其烟气自动监控系统因基准氧含量参数设置错误，以致上传至国发平台和广州市污染源自动监控平台的部分污染物数据折算浓度低于实测浓度、未能真实反映其排污状况的事实清楚，应予处罚；但考虑到当事人已积极整改，以及疫情</w:t>
            </w:r>
            <w:r>
              <w:rPr>
                <w:rFonts w:hint="eastAsia" w:ascii="仿宋_GB2312" w:eastAsia="仿宋_GB2312"/>
                <w:color w:val="000000"/>
                <w:sz w:val="32"/>
                <w:szCs w:val="32"/>
              </w:rPr>
              <w:t>防控常态化期间保障“六稳”“六保”工作需要，决定部分采纳当事人的申辩意见，在告知罚款金额基础上予以从轻处罚</w:t>
            </w:r>
            <w:r>
              <w:rPr>
                <w:rFonts w:hint="eastAsia" w:ascii="仿宋_GB2312" w:hAnsi="仿宋" w:eastAsia="仿宋_GB2312"/>
                <w:color w:val="000000"/>
                <w:sz w:val="32"/>
                <w:szCs w:val="32"/>
                <w:u w:val="none"/>
              </w:rPr>
              <w:t>。</w:t>
            </w:r>
            <w:r>
              <w:rPr>
                <w:rFonts w:hint="eastAsia" w:ascii="仿宋_GB2312" w:eastAsia="仿宋_GB2312"/>
                <w:color w:val="000000"/>
                <w:sz w:val="32"/>
                <w:szCs w:val="32"/>
              </w:rPr>
              <w:t>现本案经我局审查结束。</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根据</w:t>
            </w:r>
            <w:r>
              <w:rPr>
                <w:rFonts w:hint="eastAsia" w:ascii="仿宋_GB2312" w:hAnsi="Times New Roman" w:eastAsia="仿宋_GB2312"/>
                <w:color w:val="000000"/>
                <w:sz w:val="32"/>
                <w:szCs w:val="32"/>
              </w:rPr>
              <w:t>《中华人民共和国大气污染防治法》第一百条第三项及《广</w:t>
            </w:r>
            <w:r>
              <w:rPr>
                <w:rFonts w:hint="eastAsia" w:ascii="仿宋_GB2312" w:hAnsi="仿宋" w:eastAsia="仿宋_GB2312"/>
                <w:color w:val="000000"/>
                <w:sz w:val="32"/>
                <w:szCs w:val="32"/>
              </w:rPr>
              <w:t>州市规范生态环境行政处罚自由裁量权规定》附件第</w:t>
            </w:r>
            <w:r>
              <w:rPr>
                <w:rFonts w:hint="eastAsia" w:hAnsi="仿宋" w:eastAsia="仿宋"/>
                <w:color w:val="000000"/>
                <w:sz w:val="32"/>
                <w:szCs w:val="32"/>
              </w:rPr>
              <w:t>9.3.2</w:t>
            </w:r>
            <w:r>
              <w:rPr>
                <w:rFonts w:hint="eastAsia" w:ascii="仿宋_GB2312" w:hAnsi="仿宋" w:eastAsia="仿宋_GB2312"/>
                <w:color w:val="000000"/>
                <w:sz w:val="32"/>
                <w:szCs w:val="32"/>
              </w:rPr>
              <w:t>项的规定，我局现对当事人作出如下行政处罚：</w:t>
            </w:r>
          </w:p>
          <w:p>
            <w:pPr>
              <w:spacing w:line="560" w:lineRule="exact"/>
              <w:ind w:firstLine="640" w:firstLineChars="200"/>
              <w:rPr>
                <w:rFonts w:hint="eastAsia" w:eastAsia="仿宋_GB2312"/>
                <w:color w:val="000000"/>
                <w:sz w:val="32"/>
                <w:szCs w:val="32"/>
              </w:rPr>
            </w:pPr>
            <w:r>
              <w:rPr>
                <w:rFonts w:hint="eastAsia" w:ascii="仿宋_GB2312" w:eastAsia="仿宋_GB2312"/>
                <w:color w:val="000000"/>
                <w:sz w:val="32"/>
                <w:szCs w:val="32"/>
              </w:rPr>
              <w:t>罚款</w:t>
            </w:r>
            <w:r>
              <w:rPr>
                <w:rFonts w:hint="eastAsia" w:eastAsia="仿宋_GB2312"/>
                <w:color w:val="000000"/>
                <w:sz w:val="32"/>
                <w:szCs w:val="32"/>
              </w:rPr>
              <w:t>8</w:t>
            </w:r>
            <w:r>
              <w:rPr>
                <w:rFonts w:hint="eastAsia" w:ascii="仿宋_GB2312" w:eastAsia="仿宋_GB2312"/>
                <w:color w:val="000000"/>
                <w:sz w:val="32"/>
                <w:szCs w:val="32"/>
              </w:rPr>
              <w:t>万元。</w:t>
            </w:r>
          </w:p>
          <w:p>
            <w:pPr>
              <w:spacing w:line="560" w:lineRule="exact"/>
              <w:ind w:firstLine="420" w:firstLineChars="200"/>
              <w:rPr>
                <w:rFonts w:hint="eastAsia" w:eastAsia="仿宋_GB2312"/>
                <w:color w:val="000000"/>
                <w:sz w:val="32"/>
                <w:szCs w:val="32"/>
              </w:rPr>
            </w:pPr>
            <w:r>
              <w:rPr>
                <w:rFonts w:hint="default" w:ascii="Times New Roman" w:hAnsi="Times New Roman" w:eastAsia="微软雅黑" w:cs="Times New Roman"/>
                <w:i w:val="0"/>
                <w:iCs w:val="0"/>
                <w:caps w:val="0"/>
                <w:color w:val="000000"/>
                <w:spacing w:val="0"/>
                <w:sz w:val="21"/>
                <w:szCs w:val="21"/>
              </w:rPr>
              <w:t>  </w:t>
            </w:r>
            <w:r>
              <w:rPr>
                <w:rFonts w:eastAsia="仿宋_GB2312"/>
                <w:color w:val="000000"/>
                <w:sz w:val="32"/>
                <w:szCs w:val="32"/>
              </w:rPr>
              <w:t>限当事人在收到本处罚决定书之日起15日内，按照《广州市非税收入缴款通知书》的要求，将上述罚款缴到非税收入代收银行（工商银行、建设银行、广州银行、广州农村商业银行、中国银行、农业银行、邮政储蓄银行、交通银行、光大银行、中信银行、广发银行、浦发银行、华夏银行</w:t>
            </w:r>
            <w:r>
              <w:rPr>
                <w:rFonts w:hint="eastAsia" w:eastAsia="仿宋_GB2312"/>
                <w:color w:val="000000"/>
                <w:sz w:val="32"/>
                <w:szCs w:val="32"/>
              </w:rPr>
              <w:t>、招商银行、民生银行、兴业银行、平安银行、广东华兴银行、创兴银行、浙商银行、渤海银行、珠海华润银行、九江银行、东莞银行、江西银行、广东南粤银行、长沙银行</w:t>
            </w:r>
            <w:r>
              <w:rPr>
                <w:rFonts w:eastAsia="仿宋_GB2312"/>
                <w:color w:val="000000"/>
                <w:sz w:val="32"/>
                <w:szCs w:val="32"/>
              </w:rPr>
              <w:t>），收入项目编码：3124。</w:t>
            </w:r>
            <w:r>
              <w:rPr>
                <w:rFonts w:eastAsia="仿宋_GB2312"/>
                <w:color w:val="000000"/>
                <w:sz w:val="32"/>
                <w:szCs w:val="32"/>
              </w:rPr>
              <w:br w:type="textWrapping"/>
            </w:r>
            <w:r>
              <w:rPr>
                <w:rFonts w:hint="eastAsia" w:eastAsia="仿宋_GB2312"/>
                <w:color w:val="000000"/>
                <w:sz w:val="32"/>
                <w:szCs w:val="32"/>
              </w:rPr>
              <w:t xml:space="preserve">    如不服上述行政处罚决定，可在接到本决定之日起</w:t>
            </w:r>
            <w:r>
              <w:rPr>
                <w:rFonts w:eastAsia="仿宋_GB2312"/>
                <w:color w:val="000000"/>
                <w:sz w:val="32"/>
                <w:szCs w:val="32"/>
              </w:rPr>
              <w:t>60</w:t>
            </w:r>
            <w:r>
              <w:rPr>
                <w:rFonts w:hint="eastAsia" w:eastAsia="仿宋_GB2312"/>
                <w:color w:val="000000"/>
                <w:sz w:val="32"/>
                <w:szCs w:val="32"/>
              </w:rPr>
              <w:t>日内，向广州市人民政府（地址：越秀区小北路</w:t>
            </w:r>
            <w:r>
              <w:rPr>
                <w:rFonts w:eastAsia="仿宋_GB2312"/>
                <w:color w:val="000000"/>
                <w:sz w:val="32"/>
                <w:szCs w:val="32"/>
              </w:rPr>
              <w:t>183</w:t>
            </w:r>
            <w:r>
              <w:rPr>
                <w:rFonts w:hint="eastAsia" w:eastAsia="仿宋_GB2312"/>
                <w:color w:val="000000"/>
                <w:sz w:val="32"/>
                <w:szCs w:val="32"/>
              </w:rPr>
              <w:t>号金和大厦</w:t>
            </w:r>
            <w:r>
              <w:rPr>
                <w:rFonts w:eastAsia="仿宋_GB2312"/>
                <w:color w:val="000000"/>
                <w:sz w:val="32"/>
                <w:szCs w:val="32"/>
              </w:rPr>
              <w:t>2</w:t>
            </w:r>
            <w:r>
              <w:rPr>
                <w:rFonts w:hint="eastAsia" w:eastAsia="仿宋_GB2312"/>
                <w:color w:val="000000"/>
                <w:sz w:val="32"/>
                <w:szCs w:val="32"/>
              </w:rPr>
              <w:t>楼，电话：</w:t>
            </w:r>
            <w:r>
              <w:rPr>
                <w:rFonts w:eastAsia="仿宋_GB2312"/>
                <w:color w:val="000000"/>
                <w:sz w:val="32"/>
                <w:szCs w:val="32"/>
              </w:rPr>
              <w:t>83555988</w:t>
            </w:r>
            <w:r>
              <w:rPr>
                <w:rFonts w:hint="eastAsia" w:eastAsia="仿宋_GB2312"/>
                <w:color w:val="000000"/>
                <w:sz w:val="32"/>
                <w:szCs w:val="32"/>
              </w:rPr>
              <w:t>）或广东省生态环境厅（地址：天河区龙口西路</w:t>
            </w:r>
            <w:r>
              <w:rPr>
                <w:rFonts w:eastAsia="仿宋_GB2312"/>
                <w:color w:val="000000"/>
                <w:sz w:val="32"/>
                <w:szCs w:val="32"/>
              </w:rPr>
              <w:t>213</w:t>
            </w:r>
            <w:r>
              <w:rPr>
                <w:rFonts w:hint="eastAsia" w:eastAsia="仿宋_GB2312"/>
                <w:color w:val="000000"/>
                <w:sz w:val="32"/>
                <w:szCs w:val="32"/>
              </w:rPr>
              <w:t>号，电话：</w:t>
            </w:r>
            <w:r>
              <w:rPr>
                <w:rFonts w:eastAsia="仿宋_GB2312"/>
                <w:color w:val="000000"/>
                <w:sz w:val="32"/>
                <w:szCs w:val="32"/>
              </w:rPr>
              <w:t>87533928</w:t>
            </w:r>
            <w:r>
              <w:rPr>
                <w:rFonts w:hint="eastAsia" w:eastAsia="仿宋_GB2312"/>
                <w:color w:val="000000"/>
                <w:sz w:val="32"/>
                <w:szCs w:val="32"/>
              </w:rPr>
              <w:t>、</w:t>
            </w:r>
            <w:r>
              <w:rPr>
                <w:rFonts w:eastAsia="仿宋_GB2312"/>
                <w:color w:val="000000"/>
                <w:sz w:val="32"/>
                <w:szCs w:val="32"/>
              </w:rPr>
              <w:t>87531656</w:t>
            </w:r>
            <w:r>
              <w:rPr>
                <w:rFonts w:hint="eastAsia" w:eastAsia="仿宋_GB2312"/>
                <w:color w:val="000000"/>
                <w:sz w:val="32"/>
                <w:szCs w:val="32"/>
              </w:rPr>
              <w:t>）提出行政复议申请（我市正在进行行政复议体制改革，市政府各部门被复议案件统一由市人民政府办理，建议向市人民政府提出行政复议申请），或在</w:t>
            </w:r>
            <w:r>
              <w:rPr>
                <w:rFonts w:eastAsia="仿宋_GB2312"/>
                <w:color w:val="000000"/>
                <w:sz w:val="32"/>
                <w:szCs w:val="32"/>
              </w:rPr>
              <w:t>6</w:t>
            </w:r>
            <w:r>
              <w:rPr>
                <w:rFonts w:hint="eastAsia" w:eastAsia="仿宋_GB2312"/>
                <w:color w:val="000000"/>
                <w:sz w:val="32"/>
                <w:szCs w:val="32"/>
              </w:rPr>
              <w:t>个月内直接向有管辖权的人民法院提起行政诉讼。</w:t>
            </w:r>
            <w:r>
              <w:rPr>
                <w:rFonts w:eastAsia="仿宋_GB2312"/>
                <w:color w:val="000000"/>
                <w:sz w:val="32"/>
                <w:szCs w:val="32"/>
              </w:rPr>
              <w:t>行政复议、行政诉讼期间内，不得停止本决定的履行。</w:t>
            </w:r>
            <w:r>
              <w:rPr>
                <w:rFonts w:hint="eastAsia" w:eastAsia="仿宋_GB2312"/>
                <w:color w:val="000000"/>
                <w:sz w:val="32"/>
                <w:szCs w:val="32"/>
              </w:rPr>
              <w:t>根据《广东省人民政府关于县级以上人民政府统一行使行政复议职责有关事项的通告》（粤府函〔</w:t>
            </w:r>
            <w:r>
              <w:rPr>
                <w:rFonts w:eastAsia="仿宋_GB2312"/>
                <w:color w:val="000000"/>
                <w:sz w:val="32"/>
                <w:szCs w:val="32"/>
              </w:rPr>
              <w:t>2021</w:t>
            </w:r>
            <w:r>
              <w:rPr>
                <w:rFonts w:hint="eastAsia" w:eastAsia="仿宋_GB2312"/>
                <w:color w:val="000000"/>
                <w:sz w:val="32"/>
                <w:szCs w:val="32"/>
              </w:rPr>
              <w:t>〕</w:t>
            </w:r>
            <w:r>
              <w:rPr>
                <w:rFonts w:eastAsia="仿宋_GB2312"/>
                <w:color w:val="000000"/>
                <w:sz w:val="32"/>
                <w:szCs w:val="32"/>
              </w:rPr>
              <w:t>99</w:t>
            </w:r>
            <w:r>
              <w:rPr>
                <w:rFonts w:hint="eastAsia" w:eastAsia="仿宋_GB2312"/>
                <w:color w:val="000000"/>
                <w:sz w:val="32"/>
                <w:szCs w:val="32"/>
              </w:rPr>
              <w:t>号）的规定，自</w:t>
            </w:r>
            <w:r>
              <w:rPr>
                <w:rFonts w:eastAsia="仿宋_GB2312"/>
                <w:color w:val="000000"/>
                <w:sz w:val="32"/>
                <w:szCs w:val="32"/>
              </w:rPr>
              <w:t>2021</w:t>
            </w:r>
            <w:r>
              <w:rPr>
                <w:rFonts w:hint="eastAsia" w:eastAsia="仿宋_GB2312"/>
                <w:color w:val="000000"/>
                <w:sz w:val="32"/>
                <w:szCs w:val="32"/>
              </w:rPr>
              <w:t>年</w:t>
            </w:r>
            <w:r>
              <w:rPr>
                <w:rFonts w:eastAsia="仿宋_GB2312"/>
                <w:color w:val="000000"/>
                <w:sz w:val="32"/>
                <w:szCs w:val="32"/>
              </w:rPr>
              <w:t>6</w:t>
            </w:r>
            <w:r>
              <w:rPr>
                <w:rFonts w:hint="eastAsia" w:eastAsia="仿宋_GB2312"/>
                <w:color w:val="000000"/>
                <w:sz w:val="32"/>
                <w:szCs w:val="32"/>
              </w:rPr>
              <w:t>月</w:t>
            </w:r>
            <w:r>
              <w:rPr>
                <w:rFonts w:eastAsia="仿宋_GB2312"/>
                <w:color w:val="000000"/>
                <w:sz w:val="32"/>
                <w:szCs w:val="32"/>
              </w:rPr>
              <w:t>1</w:t>
            </w:r>
            <w:r>
              <w:rPr>
                <w:rFonts w:hint="eastAsia" w:eastAsia="仿宋_GB2312"/>
                <w:color w:val="000000"/>
                <w:sz w:val="32"/>
                <w:szCs w:val="32"/>
              </w:rPr>
              <w:t>日起县级以上人民政府统一行使行政复议职责，建议您向广州市人民政府提出行政复议申请。申请行政复议或提起行政诉讼的，不停止本决定的执行。</w:t>
            </w:r>
          </w:p>
          <w:p>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根据《中华人民共和国行政处罚法》第七十二条规定，当事人逾期不履行本处罚决定的，我局将每日按罚款额的百分之三加处罚款，并依照《中华人民共和国行政强制法》的规定申请人民法院强制执行。</w:t>
            </w:r>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right"/>
            </w:pPr>
            <w:r>
              <w:rPr>
                <w:rFonts w:hint="default" w:ascii="Times New Roman" w:hAnsi="Times New Roman" w:eastAsia="微软雅黑" w:cs="Times New Roman"/>
                <w:i w:val="0"/>
                <w:iCs w:val="0"/>
                <w:caps w:val="0"/>
                <w:color w:val="000000"/>
                <w:spacing w:val="0"/>
                <w:sz w:val="21"/>
                <w:szCs w:val="21"/>
              </w:rPr>
              <w:t>   </w:t>
            </w:r>
            <w:r>
              <w:rPr>
                <w:rFonts w:hint="default" w:ascii="仿宋_GB2312" w:hAnsi="Times New Roman" w:eastAsia="仿宋_GB2312" w:cs="仿宋_GB2312"/>
                <w:i w:val="0"/>
                <w:iCs w:val="0"/>
                <w:caps w:val="0"/>
                <w:color w:val="000000"/>
                <w:spacing w:val="0"/>
                <w:sz w:val="32"/>
                <w:szCs w:val="32"/>
              </w:rPr>
              <w:t>广州市生态环境局</w:t>
            </w:r>
          </w:p>
          <w:p>
            <w:pPr>
              <w:pStyle w:val="3"/>
              <w:keepNext w:val="0"/>
              <w:keepLines w:val="0"/>
              <w:widowControl/>
              <w:suppressLineNumbers w:val="0"/>
              <w:ind w:left="0" w:right="0"/>
              <w:jc w:val="right"/>
            </w:pP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年</w:t>
            </w:r>
            <w:r>
              <w:rPr>
                <w:rFonts w:hint="eastAsia" w:ascii="Times New Roman" w:hAnsi="Times New Roman" w:eastAsia="微软雅黑" w:cs="Times New Roman"/>
                <w:i w:val="0"/>
                <w:iCs w:val="0"/>
                <w:caps w:val="0"/>
                <w:color w:val="000000"/>
                <w:spacing w:val="0"/>
                <w:sz w:val="32"/>
                <w:szCs w:val="32"/>
                <w:lang w:val="en-US" w:eastAsia="zh-CN"/>
              </w:rPr>
              <w:t>9</w:t>
            </w:r>
            <w:r>
              <w:rPr>
                <w:rFonts w:hint="default" w:ascii="仿宋_GB2312" w:hAnsi="Times New Roman" w:eastAsia="仿宋_GB2312" w:cs="仿宋_GB2312"/>
                <w:i w:val="0"/>
                <w:iCs w:val="0"/>
                <w:caps w:val="0"/>
                <w:color w:val="000000"/>
                <w:spacing w:val="0"/>
                <w:sz w:val="32"/>
                <w:szCs w:val="32"/>
              </w:rPr>
              <w:t>月</w:t>
            </w:r>
            <w:r>
              <w:rPr>
                <w:rFonts w:hint="eastAsia" w:ascii="Times New Roman" w:hAnsi="Times New Roman" w:eastAsia="微软雅黑" w:cs="Times New Roman"/>
                <w:i w:val="0"/>
                <w:iCs w:val="0"/>
                <w:caps w:val="0"/>
                <w:color w:val="000000"/>
                <w:spacing w:val="0"/>
                <w:sz w:val="32"/>
                <w:szCs w:val="32"/>
                <w:lang w:val="en-US" w:eastAsia="zh-CN"/>
              </w:rPr>
              <w:t>30</w:t>
            </w:r>
            <w:r>
              <w:rPr>
                <w:rFonts w:hint="default" w:ascii="仿宋_GB2312" w:hAnsi="Times New Roman" w:eastAsia="仿宋_GB2312" w:cs="仿宋_GB2312"/>
                <w:i w:val="0"/>
                <w:iCs w:val="0"/>
                <w:caps w:val="0"/>
                <w:color w:val="000000"/>
                <w:spacing w:val="0"/>
                <w:sz w:val="32"/>
                <w:szCs w:val="32"/>
              </w:rPr>
              <w:t>日</w:t>
            </w:r>
          </w:p>
          <w:p>
            <w:pPr>
              <w:pStyle w:val="3"/>
              <w:keepNext w:val="0"/>
              <w:keepLines w:val="0"/>
              <w:widowControl/>
              <w:suppressLineNumbers w:val="0"/>
              <w:ind w:left="0" w:right="0"/>
              <w:jc w:val="right"/>
            </w:pPr>
            <w:r>
              <w:rPr>
                <w:rFonts w:hint="eastAsia" w:ascii="微软雅黑" w:hAnsi="微软雅黑" w:eastAsia="微软雅黑" w:cs="微软雅黑"/>
                <w:i w:val="0"/>
                <w:iCs w:val="0"/>
                <w:caps w:val="0"/>
                <w:color w:val="000000"/>
                <w:spacing w:val="0"/>
                <w:sz w:val="27"/>
                <w:szCs w:val="27"/>
              </w:rPr>
              <w:t> </w:t>
            </w:r>
          </w:p>
          <w:p>
            <w:pPr>
              <w:pStyle w:val="3"/>
              <w:keepNext w:val="0"/>
              <w:keepLines w:val="0"/>
              <w:widowControl/>
              <w:suppressLineNumbers w:val="0"/>
              <w:ind w:left="0" w:right="0"/>
              <w:jc w:val="left"/>
            </w:pPr>
            <w:r>
              <w:rPr>
                <w:rFonts w:hint="default" w:ascii="仿宋_GB2312" w:hAnsi="Times New Roman" w:eastAsia="仿宋_GB2312" w:cs="仿宋_GB2312"/>
                <w:i w:val="0"/>
                <w:iCs w:val="0"/>
                <w:caps w:val="0"/>
                <w:color w:val="000000"/>
                <w:spacing w:val="0"/>
                <w:sz w:val="32"/>
                <w:szCs w:val="32"/>
              </w:rPr>
              <w:t>抄送：局监测处、应急处，市生态环境局增城分局。</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F36F61"/>
    <w:rsid w:val="069426AD"/>
    <w:rsid w:val="10F36F61"/>
    <w:rsid w:val="25FA4432"/>
    <w:rsid w:val="437C7B4A"/>
    <w:rsid w:val="450917AA"/>
    <w:rsid w:val="60E17495"/>
    <w:rsid w:val="73E1530F"/>
    <w:rsid w:val="77A147E9"/>
    <w:rsid w:val="7B3F4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after="12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customStyle="1" w:styleId="7">
    <w:name w:val="col-title1"/>
    <w:basedOn w:val="5"/>
    <w:uiPriority w:val="0"/>
    <w:rPr>
      <w:rFonts w:hint="eastAsia" w:ascii="宋体" w:hAnsi="宋体" w:eastAsia="宋体" w:cs="宋体"/>
      <w:b/>
      <w:bCs/>
      <w:color w:val="000000"/>
    </w:rPr>
  </w:style>
  <w:style w:type="character" w:customStyle="1" w:styleId="8">
    <w:name w:val="col-content1"/>
    <w:basedOn w:val="5"/>
    <w:uiPriority w:val="0"/>
    <w:rPr>
      <w:rFonts w:hint="eastAsia" w:ascii="宋体" w:hAnsi="宋体" w:eastAsia="宋体" w:cs="宋体"/>
      <w:color w:val="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2020-07-27T06:18:00Z</dcterms:created>
  <dc:creator>陈璐</dc:creator>
  <cp:lastModifiedBy>O</cp:lastModifiedBy>
  <dcterms:modified xsi:type="dcterms:W3CDTF">2021-10-22T08:14:12Z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FA96096F925A4095AD60638FA98C549E</vt:lpwstr>
  </property>
</Properties>
</file>