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0" w:type="auto"/>
        <w:jc w:val="center"/>
        <w:tblCellSpacing w:w="0" w:type="dxa"/>
        <w:shd w:val="clear" w:color="auto" w:fill="auto"/>
        <w:tblLayout w:type="autofit"/>
        <w:tblCellMar>
          <w:top w:w="0" w:type="dxa"/>
          <w:left w:w="0" w:type="dxa"/>
          <w:bottom w:w="0" w:type="dxa"/>
          <w:right w:w="0" w:type="dxa"/>
        </w:tblCellMar>
      </w:tblPr>
      <w:tblGrid>
        <w:gridCol w:w="13958"/>
      </w:tblGrid>
      <w:tr>
        <w:tblPrEx>
          <w:shd w:val="clear" w:color="auto" w:fill="auto"/>
          <w:tblCellMar>
            <w:top w:w="0" w:type="dxa"/>
            <w:left w:w="0" w:type="dxa"/>
            <w:bottom w:w="0" w:type="dxa"/>
            <w:right w:w="0" w:type="dxa"/>
          </w:tblCellMar>
        </w:tblPrEx>
        <w:trPr>
          <w:tblCellSpacing w:w="0" w:type="dxa"/>
          <w:jc w:val="center"/>
        </w:trPr>
        <w:tc>
          <w:tcPr>
            <w:tcW w:w="0" w:type="auto"/>
            <w:shd w:val="clear" w:color="auto" w:fill="auto"/>
            <w:vAlign w:val="center"/>
          </w:tcPr>
          <w:tbl>
            <w:tblPr>
              <w:tblStyle w:val="6"/>
              <w:tblW w:w="5000" w:type="pct"/>
              <w:tblInd w:w="-92" w:type="dxa"/>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147"/>
              <w:gridCol w:w="4716"/>
              <w:gridCol w:w="1769"/>
              <w:gridCol w:w="1334"/>
              <w:gridCol w:w="1334"/>
              <w:gridCol w:w="1769"/>
              <w:gridCol w:w="1879"/>
            </w:tblGrid>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ascii="微软雅黑" w:hAnsi="微软雅黑" w:eastAsia="微软雅黑" w:cs="微软雅黑"/>
                      <w:i w:val="0"/>
                      <w:iCs w:val="0"/>
                      <w:caps w:val="0"/>
                      <w:color w:val="102401"/>
                      <w:spacing w:val="0"/>
                      <w:sz w:val="18"/>
                      <w:szCs w:val="18"/>
                    </w:rPr>
                  </w:pPr>
                  <w:bookmarkStart w:id="0" w:name="_GoBack"/>
                  <w:bookmarkEnd w:id="0"/>
                  <w:r>
                    <w:rPr>
                      <w:rFonts w:hint="eastAsia" w:ascii="宋体" w:hAnsi="宋体" w:eastAsia="宋体" w:cs="宋体"/>
                      <w:b/>
                      <w:bCs/>
                      <w:i w:val="0"/>
                      <w:iCs w:val="0"/>
                      <w:caps w:val="0"/>
                      <w:color w:val="000000"/>
                      <w:spacing w:val="0"/>
                      <w:kern w:val="0"/>
                      <w:sz w:val="18"/>
                      <w:szCs w:val="18"/>
                      <w:lang w:val="en-US" w:eastAsia="zh-CN" w:bidi="ar"/>
                    </w:rPr>
                    <w:t>行政处罚决定文书号 :</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102401"/>
                      <w:spacing w:val="0"/>
                      <w:sz w:val="18"/>
                      <w:szCs w:val="18"/>
                    </w:rPr>
                    <w:t>穗环法罚</w:t>
                  </w:r>
                  <w:r>
                    <w:rPr>
                      <w:rFonts w:hint="eastAsia" w:ascii="宋体" w:hAnsi="宋体" w:eastAsia="宋体" w:cs="宋体"/>
                      <w:i w:val="0"/>
                      <w:iCs w:val="0"/>
                      <w:caps w:val="0"/>
                      <w:color w:val="000000"/>
                      <w:spacing w:val="0"/>
                      <w:sz w:val="18"/>
                      <w:szCs w:val="18"/>
                    </w:rPr>
                    <w:t>【202</w:t>
                  </w:r>
                  <w:r>
                    <w:rPr>
                      <w:rFonts w:hint="eastAsia" w:ascii="宋体" w:hAnsi="宋体" w:eastAsia="宋体" w:cs="宋体"/>
                      <w:i w:val="0"/>
                      <w:iCs w:val="0"/>
                      <w:caps w:val="0"/>
                      <w:color w:val="000000"/>
                      <w:spacing w:val="0"/>
                      <w:sz w:val="18"/>
                      <w:szCs w:val="18"/>
                      <w:lang w:val="en-US" w:eastAsia="zh-CN"/>
                    </w:rPr>
                    <w:t>2</w:t>
                  </w:r>
                  <w:r>
                    <w:rPr>
                      <w:rFonts w:hint="eastAsia" w:ascii="宋体" w:hAnsi="宋体" w:eastAsia="宋体" w:cs="宋体"/>
                      <w:i w:val="0"/>
                      <w:iCs w:val="0"/>
                      <w:caps w:val="0"/>
                      <w:color w:val="000000"/>
                      <w:spacing w:val="0"/>
                      <w:sz w:val="18"/>
                      <w:szCs w:val="18"/>
                    </w:rPr>
                    <w:t>】</w:t>
                  </w:r>
                  <w:r>
                    <w:rPr>
                      <w:rFonts w:hint="eastAsia" w:ascii="宋体" w:hAnsi="宋体" w:eastAsia="宋体" w:cs="宋体"/>
                      <w:i w:val="0"/>
                      <w:iCs w:val="0"/>
                      <w:caps w:val="0"/>
                      <w:color w:val="102401"/>
                      <w:spacing w:val="0"/>
                      <w:sz w:val="18"/>
                      <w:szCs w:val="18"/>
                    </w:rPr>
                    <w:t>1号</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行政相对人类别:</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lang w:val="en-US" w:eastAsia="zh-CN" w:bidi="ar"/>
                    </w:rPr>
                    <w:t>法人</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处罚类别:</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lang w:val="en-US" w:eastAsia="zh-CN" w:bidi="ar"/>
                    </w:rPr>
                    <w:t>罚款</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违法事实:</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102401"/>
                      <w:spacing w:val="0"/>
                      <w:sz w:val="18"/>
                      <w:szCs w:val="18"/>
                    </w:rPr>
                    <w:t>经我局执法人员调查发现，当事人主要从事机动车检测经营服务，已取得相关检测资质，业务包括机动车尾气检测，设有2条简易瞬态工况轻型汽油车检测线和1条加载减速法重型柴油车检测线。经查，当事人自2021年3月投产以来，在对部分车辆进行排气检测过程中，存在以下违法行为：一、以OBD模拟器（系当事人法定代表人李高山网购）代替检测车辆车载OBD系统（即车载自动诊断系统）方式进行虚假检测，并出具了合格的检测报告；已查明使用上述方式出具虚假排放检验报告的涉案车辆包括：粤AM690L（2021年3月18日检测，收取检测费用170元）、粤A305TE（2021年3月22日检测，收取检测费用170元）、粤A2LE45（2021年3月22日检测，收取检测费用170元）、粤A1Q4D9（2021年3月23日检测，收取检测费用250元）、粤A6U0T8（2021年10月9日检测，收取检测费用250元）、粤A3N1L6（2021年10月11日检测，收取检测费用250元）、粤AF70B8（2021年10月8日检测，收取检测费用170元）、粤A9HS97（2021年10月8日检测，收取检测费用170元）、粤A2F7S0（2021年10月8日检测，收取检测费用170元）、粤AG6T84（2021年10月18日检测，收取检测费用170元）。二、将本应放置在检测车辆发动机上的发动机转速计感应器放置在检测车辆附近的机箱柜上，并以在机箱柜上测得的数据代替检测车辆转速计检测数据，出具了合格的检测报告；已查明使用上述方式出具虚假排放检验报告的涉案车辆包括：粤ADN996（2021年7月26日检测，收取检测费用250元）、粤A0M5E2（2021年7月28日检测，收取检测费用250元）、粤A8Q5E9（2021年8月2日检测，收取检测费用250元）、粤A4GY82（2021年11月11日检测，收取检测费用250元）以及前述的检测车辆粤A6U0T8和粤A3N1L6。当事人对上述14台涉案车辆收取的检测费用合计人民币2940元。</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处罚依据:</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102401"/>
                      <w:spacing w:val="0"/>
                      <w:sz w:val="18"/>
                      <w:szCs w:val="18"/>
                    </w:rPr>
                    <w:t>根据《中华人民共和国大气污染防治法》第一百一十二条第一款及《广东省生态环境行政处罚自由裁量权规定》附件1第3.23项的规定，我局现对当事人作出如下行政处罚： 没收违法所得2940元，并处罚款40万元。</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处罚内容:</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lang w:val="en-US" w:eastAsia="zh-CN" w:bidi="ar"/>
                    </w:rPr>
                    <w:t>详见处罚决定文书</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行政相对人名称:</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102401"/>
                      <w:spacing w:val="0"/>
                      <w:sz w:val="18"/>
                      <w:szCs w:val="18"/>
                    </w:rPr>
                    <w:t>广州市广禾机动车检测有限公司</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vMerge w:val="restart"/>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行政相对人代码:</w:t>
                  </w: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统一社会信用代码</w:t>
                  </w: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组织机构代码</w:t>
                  </w:r>
                </w:p>
              </w:tc>
              <w:tc>
                <w:tcPr>
                  <w:tcW w:w="675"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工商登记码</w:t>
                  </w:r>
                </w:p>
              </w:tc>
              <w:tc>
                <w:tcPr>
                  <w:tcW w:w="675"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税务登记号</w:t>
                  </w: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事业单位证书号</w:t>
                  </w:r>
                </w:p>
              </w:tc>
              <w:tc>
                <w:tcPr>
                  <w:tcW w:w="1125"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社会组织登记证号</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vMerge w:val="continue"/>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right"/>
                    <w:rPr>
                      <w:rFonts w:hint="eastAsia" w:ascii="微软雅黑" w:hAnsi="微软雅黑" w:eastAsia="微软雅黑" w:cs="微软雅黑"/>
                      <w:i w:val="0"/>
                      <w:iCs w:val="0"/>
                      <w:caps w:val="0"/>
                      <w:color w:val="102401"/>
                      <w:spacing w:val="0"/>
                      <w:sz w:val="18"/>
                      <w:szCs w:val="18"/>
                    </w:rPr>
                  </w:pP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微软雅黑" w:hAnsi="微软雅黑" w:eastAsia="微软雅黑" w:cs="微软雅黑"/>
                      <w:i w:val="0"/>
                      <w:iCs w:val="0"/>
                      <w:caps w:val="0"/>
                      <w:color w:val="102401"/>
                      <w:spacing w:val="0"/>
                      <w:sz w:val="18"/>
                      <w:szCs w:val="18"/>
                    </w:rPr>
                    <w:t>91440101MA9UTFB50C</w:t>
                  </w: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c>
                <w:tcPr>
                  <w:tcW w:w="90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法人代表姓名:</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微软雅黑" w:hAnsi="微软雅黑" w:eastAsia="微软雅黑" w:cs="微软雅黑"/>
                      <w:i w:val="0"/>
                      <w:iCs w:val="0"/>
                      <w:caps w:val="0"/>
                      <w:color w:val="102401"/>
                      <w:spacing w:val="0"/>
                      <w:sz w:val="18"/>
                      <w:szCs w:val="18"/>
                    </w:rPr>
                    <w:t>李高山</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法定代表人证件号码: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微软雅黑" w:hAnsi="微软雅黑" w:eastAsia="微软雅黑" w:cs="微软雅黑"/>
                      <w:i w:val="0"/>
                      <w:iCs w:val="0"/>
                      <w:caps w:val="0"/>
                      <w:color w:val="102401"/>
                      <w:spacing w:val="0"/>
                      <w:kern w:val="0"/>
                      <w:sz w:val="18"/>
                      <w:szCs w:val="18"/>
                      <w:lang w:val="en-US" w:eastAsia="zh-CN" w:bidi="ar"/>
                    </w:rPr>
                    <w:t>422425***********6</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证件类型:</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证件号码: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违法行为类型:</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102401"/>
                      <w:spacing w:val="0"/>
                      <w:sz w:val="18"/>
                      <w:szCs w:val="18"/>
                    </w:rPr>
                    <w:t>出具虚假排放检验报告</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罚款金额（万元）:</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default" w:ascii="微软雅黑" w:hAnsi="微软雅黑" w:eastAsia="微软雅黑" w:cs="微软雅黑"/>
                      <w:i w:val="0"/>
                      <w:iCs w:val="0"/>
                      <w:caps w:val="0"/>
                      <w:color w:val="102401"/>
                      <w:spacing w:val="0"/>
                      <w:sz w:val="18"/>
                      <w:szCs w:val="18"/>
                      <w:lang w:val="en-US" w:eastAsia="zh-CN"/>
                    </w:rPr>
                  </w:pPr>
                  <w:r>
                    <w:rPr>
                      <w:rFonts w:hint="eastAsia" w:ascii="微软雅黑" w:hAnsi="微软雅黑" w:eastAsia="微软雅黑" w:cs="微软雅黑"/>
                      <w:i w:val="0"/>
                      <w:iCs w:val="0"/>
                      <w:caps w:val="0"/>
                      <w:color w:val="102401"/>
                      <w:spacing w:val="0"/>
                      <w:sz w:val="18"/>
                      <w:szCs w:val="18"/>
                      <w:lang w:val="en-US" w:eastAsia="zh-CN"/>
                    </w:rPr>
                    <w:t>40</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没收违法所得、没收非法财物的金额（万元）:</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r>
                    <w:rPr>
                      <w:rFonts w:hint="eastAsia" w:ascii="微软雅黑" w:hAnsi="微软雅黑" w:eastAsia="微软雅黑" w:cs="微软雅黑"/>
                      <w:i w:val="0"/>
                      <w:iCs w:val="0"/>
                      <w:caps w:val="0"/>
                      <w:color w:val="102401"/>
                      <w:spacing w:val="0"/>
                      <w:sz w:val="18"/>
                      <w:szCs w:val="18"/>
                    </w:rPr>
                    <w:t>0.2940</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暂扣或吊销证照名称及编号:</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处罚决定日期:</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宋体" w:cs="微软雅黑"/>
                      <w:i w:val="0"/>
                      <w:iCs w:val="0"/>
                      <w:caps w:val="0"/>
                      <w:color w:val="102401"/>
                      <w:spacing w:val="0"/>
                      <w:sz w:val="18"/>
                      <w:szCs w:val="18"/>
                      <w:lang w:val="en-US" w:eastAsia="zh-CN"/>
                    </w:rPr>
                  </w:pPr>
                  <w:r>
                    <w:rPr>
                      <w:rFonts w:hint="eastAsia" w:ascii="宋体" w:hAnsi="宋体" w:eastAsia="宋体" w:cs="宋体"/>
                      <w:i w:val="0"/>
                      <w:iCs w:val="0"/>
                      <w:caps w:val="0"/>
                      <w:color w:val="000000"/>
                      <w:spacing w:val="0"/>
                      <w:sz w:val="18"/>
                      <w:szCs w:val="18"/>
                    </w:rPr>
                    <w:t>202</w:t>
                  </w:r>
                  <w:r>
                    <w:rPr>
                      <w:rFonts w:hint="eastAsia" w:ascii="宋体" w:hAnsi="宋体" w:eastAsia="宋体" w:cs="宋体"/>
                      <w:i w:val="0"/>
                      <w:iCs w:val="0"/>
                      <w:caps w:val="0"/>
                      <w:color w:val="000000"/>
                      <w:spacing w:val="0"/>
                      <w:sz w:val="18"/>
                      <w:szCs w:val="18"/>
                      <w:lang w:val="en-US" w:eastAsia="zh-CN"/>
                    </w:rPr>
                    <w:t>2</w:t>
                  </w:r>
                  <w:r>
                    <w:rPr>
                      <w:rFonts w:hint="eastAsia" w:ascii="宋体" w:hAnsi="宋体" w:eastAsia="宋体" w:cs="宋体"/>
                      <w:i w:val="0"/>
                      <w:iCs w:val="0"/>
                      <w:caps w:val="0"/>
                      <w:color w:val="000000"/>
                      <w:spacing w:val="0"/>
                      <w:sz w:val="18"/>
                      <w:szCs w:val="18"/>
                    </w:rPr>
                    <w:t>/</w:t>
                  </w:r>
                  <w:r>
                    <w:rPr>
                      <w:rFonts w:hint="eastAsia" w:ascii="宋体" w:hAnsi="宋体" w:eastAsia="宋体" w:cs="宋体"/>
                      <w:i w:val="0"/>
                      <w:iCs w:val="0"/>
                      <w:caps w:val="0"/>
                      <w:color w:val="000000"/>
                      <w:spacing w:val="0"/>
                      <w:sz w:val="18"/>
                      <w:szCs w:val="18"/>
                      <w:lang w:val="en-US" w:eastAsia="zh-CN"/>
                    </w:rPr>
                    <w:t>3</w:t>
                  </w:r>
                  <w:r>
                    <w:rPr>
                      <w:rFonts w:hint="eastAsia" w:ascii="宋体" w:hAnsi="宋体" w:eastAsia="宋体" w:cs="宋体"/>
                      <w:i w:val="0"/>
                      <w:iCs w:val="0"/>
                      <w:caps w:val="0"/>
                      <w:color w:val="000000"/>
                      <w:spacing w:val="0"/>
                      <w:sz w:val="18"/>
                      <w:szCs w:val="18"/>
                    </w:rPr>
                    <w:t>/</w:t>
                  </w:r>
                  <w:r>
                    <w:rPr>
                      <w:rFonts w:hint="eastAsia" w:ascii="宋体" w:hAnsi="宋体" w:eastAsia="宋体" w:cs="宋体"/>
                      <w:i w:val="0"/>
                      <w:iCs w:val="0"/>
                      <w:caps w:val="0"/>
                      <w:color w:val="000000"/>
                      <w:spacing w:val="0"/>
                      <w:sz w:val="18"/>
                      <w:szCs w:val="18"/>
                      <w:lang w:val="en-US" w:eastAsia="zh-CN"/>
                    </w:rPr>
                    <w:t>8</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处罚有效期:</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sz w:val="18"/>
                      <w:szCs w:val="18"/>
                    </w:rPr>
                    <w:t>2099/12/31</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公示截止期:</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sz w:val="18"/>
                      <w:szCs w:val="18"/>
                    </w:rPr>
                    <w:t>2099/12/31</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处罚机关:</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lang w:val="en-US" w:eastAsia="zh-CN" w:bidi="ar"/>
                    </w:rPr>
                    <w:t>广州市生态环境局</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处罚机关统一社会信用代码: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sz w:val="18"/>
                      <w:szCs w:val="18"/>
                    </w:rPr>
                    <w:t>11440100MB2C93184J</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数据来源单位:</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lang w:val="en-US" w:eastAsia="zh-CN" w:bidi="ar"/>
                    </w:rPr>
                    <w:t>广州市生态环境局</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数据来源单位统一社会信用代码: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sz w:val="18"/>
                      <w:szCs w:val="18"/>
                    </w:rPr>
                    <w:t>11440100MB2C93184J</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备注:</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lang w:val="en-US" w:eastAsia="zh-CN" w:bidi="ar"/>
                    </w:rPr>
                    <w:t>/</w:t>
                  </w:r>
                </w:p>
              </w:tc>
            </w:tr>
          </w:tbl>
          <w:p>
            <w:pPr>
              <w:jc w:val="center"/>
              <w:rPr>
                <w:rFonts w:ascii="微软雅黑" w:hAnsi="微软雅黑" w:eastAsia="微软雅黑" w:cs="微软雅黑"/>
                <w:i w:val="0"/>
                <w:iCs w:val="0"/>
                <w:caps w:val="0"/>
                <w:color w:val="000000"/>
                <w:spacing w:val="0"/>
                <w:sz w:val="27"/>
                <w:szCs w:val="27"/>
              </w:rPr>
            </w:pPr>
          </w:p>
        </w:tc>
      </w:tr>
      <w:tr>
        <w:tblPrEx>
          <w:tblCellMar>
            <w:top w:w="0" w:type="dxa"/>
            <w:left w:w="0" w:type="dxa"/>
            <w:bottom w:w="0" w:type="dxa"/>
            <w:right w:w="0" w:type="dxa"/>
          </w:tblCellMar>
        </w:tblPrEx>
        <w:trPr>
          <w:tblCellSpacing w:w="0" w:type="dxa"/>
          <w:jc w:val="center"/>
        </w:trPr>
        <w:tc>
          <w:tcPr>
            <w:tcW w:w="0" w:type="auto"/>
            <w:shd w:val="clear" w:color="auto" w:fill="auto"/>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 </w:t>
            </w:r>
          </w:p>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 </w:t>
            </w:r>
          </w:p>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Style w:val="8"/>
                <w:rFonts w:hint="eastAsia" w:ascii="微软雅黑" w:hAnsi="微软雅黑" w:eastAsia="微软雅黑" w:cs="微软雅黑"/>
                <w:i w:val="0"/>
                <w:iCs w:val="0"/>
                <w:caps w:val="0"/>
                <w:color w:val="000000"/>
                <w:spacing w:val="0"/>
                <w:kern w:val="0"/>
                <w:sz w:val="32"/>
                <w:szCs w:val="32"/>
                <w:lang w:val="en-US" w:eastAsia="zh-CN" w:bidi="ar"/>
              </w:rPr>
              <w:t>全文信息</w:t>
            </w:r>
          </w:p>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 </w:t>
            </w:r>
          </w:p>
          <w:p>
            <w:pPr>
              <w:pStyle w:val="5"/>
              <w:keepNext w:val="0"/>
              <w:keepLines w:val="0"/>
              <w:widowControl/>
              <w:suppressLineNumbers w:val="0"/>
              <w:ind w:left="0" w:right="0"/>
              <w:jc w:val="right"/>
            </w:pPr>
            <w:r>
              <w:rPr>
                <w:rFonts w:hint="eastAsia" w:ascii="微软雅黑" w:hAnsi="微软雅黑" w:eastAsia="微软雅黑" w:cs="微软雅黑"/>
                <w:i w:val="0"/>
                <w:iCs w:val="0"/>
                <w:caps w:val="0"/>
                <w:color w:val="000000"/>
                <w:spacing w:val="0"/>
                <w:sz w:val="24"/>
                <w:szCs w:val="24"/>
              </w:rPr>
              <w:t> </w:t>
            </w:r>
            <w:r>
              <w:rPr>
                <w:rFonts w:hint="eastAsia" w:ascii="微软雅黑" w:hAnsi="微软雅黑" w:eastAsia="微软雅黑" w:cs="微软雅黑"/>
                <w:i w:val="0"/>
                <w:iCs w:val="0"/>
                <w:caps w:val="0"/>
                <w:color w:val="000000"/>
                <w:spacing w:val="0"/>
                <w:sz w:val="24"/>
                <w:szCs w:val="24"/>
              </w:rPr>
              <w:br w:type="textWrapping"/>
            </w:r>
            <w:r>
              <w:rPr>
                <w:rFonts w:hint="eastAsia" w:ascii="微软雅黑" w:hAnsi="微软雅黑" w:eastAsia="微软雅黑" w:cs="微软雅黑"/>
                <w:i w:val="0"/>
                <w:iCs w:val="0"/>
                <w:caps w:val="0"/>
                <w:color w:val="000000"/>
                <w:spacing w:val="0"/>
                <w:sz w:val="24"/>
                <w:szCs w:val="24"/>
              </w:rPr>
              <w:t> </w:t>
            </w:r>
          </w:p>
          <w:p>
            <w:pPr>
              <w:pStyle w:val="5"/>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5"/>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5"/>
              <w:keepNext w:val="0"/>
              <w:keepLines w:val="0"/>
              <w:widowControl/>
              <w:suppressLineNumbers w:val="0"/>
              <w:ind w:left="0" w:right="0"/>
              <w:jc w:val="right"/>
            </w:pPr>
            <w:r>
              <w:rPr>
                <w:rFonts w:hint="eastAsia" w:ascii="仿宋_GB2312" w:hAnsi="仿宋_GB2312" w:eastAsia="仿宋_GB2312" w:cs="仿宋_GB2312"/>
                <w:i w:val="0"/>
                <w:iCs w:val="0"/>
                <w:caps w:val="0"/>
                <w:color w:val="102401"/>
                <w:spacing w:val="0"/>
                <w:sz w:val="32"/>
                <w:szCs w:val="32"/>
              </w:rPr>
              <w:t>穗环法罚〔2022〕1号</w:t>
            </w:r>
            <w:r>
              <w:rPr>
                <w:rFonts w:hint="eastAsia" w:ascii="微软雅黑" w:hAnsi="微软雅黑" w:eastAsia="微软雅黑" w:cs="微软雅黑"/>
                <w:i w:val="0"/>
                <w:iCs w:val="0"/>
                <w:caps w:val="0"/>
                <w:color w:val="000000"/>
                <w:spacing w:val="0"/>
                <w:sz w:val="27"/>
                <w:szCs w:val="27"/>
              </w:rPr>
              <w:t> </w:t>
            </w:r>
          </w:p>
          <w:p>
            <w:pPr>
              <w:pStyle w:val="5"/>
              <w:keepNext w:val="0"/>
              <w:keepLines w:val="0"/>
              <w:widowControl/>
              <w:suppressLineNumbers w:val="0"/>
              <w:ind w:left="0" w:right="0"/>
              <w:jc w:val="center"/>
            </w:pPr>
            <w:r>
              <w:rPr>
                <w:rFonts w:ascii="方正小标宋简体" w:hAnsi="方正小标宋简体" w:eastAsia="方正小标宋简体" w:cs="方正小标宋简体"/>
                <w:i w:val="0"/>
                <w:iCs w:val="0"/>
                <w:caps w:val="0"/>
                <w:color w:val="000000"/>
                <w:spacing w:val="0"/>
                <w:sz w:val="44"/>
                <w:szCs w:val="44"/>
              </w:rPr>
              <w:t>行政处罚决定书</w:t>
            </w:r>
          </w:p>
          <w:p>
            <w:pPr>
              <w:pStyle w:val="5"/>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5"/>
              <w:keepNext w:val="0"/>
              <w:keepLines w:val="0"/>
              <w:widowControl/>
              <w:suppressLineNumbers w:val="0"/>
              <w:ind w:left="0" w:right="0"/>
              <w:jc w:val="both"/>
            </w:pPr>
            <w:r>
              <w:rPr>
                <w:rFonts w:hint="default" w:ascii="仿宋_GB2312" w:hAnsi="Times New Roman" w:eastAsia="仿宋_GB2312" w:cs="仿宋_GB2312"/>
                <w:i w:val="0"/>
                <w:iCs w:val="0"/>
                <w:caps w:val="0"/>
                <w:color w:val="000000"/>
                <w:spacing w:val="0"/>
                <w:sz w:val="32"/>
                <w:szCs w:val="32"/>
              </w:rPr>
              <w:t>当事人：广州市广禾机动车检测有限公司</w:t>
            </w:r>
          </w:p>
          <w:p>
            <w:pPr>
              <w:pStyle w:val="5"/>
              <w:keepNext w:val="0"/>
              <w:keepLines w:val="0"/>
              <w:widowControl/>
              <w:suppressLineNumbers w:val="0"/>
              <w:ind w:left="0" w:right="0"/>
              <w:jc w:val="both"/>
            </w:pPr>
            <w:r>
              <w:rPr>
                <w:rFonts w:hint="default" w:ascii="仿宋_GB2312" w:hAnsi="Times New Roman" w:eastAsia="仿宋_GB2312" w:cs="仿宋_GB2312"/>
                <w:i w:val="0"/>
                <w:iCs w:val="0"/>
                <w:caps w:val="0"/>
                <w:color w:val="000000"/>
                <w:spacing w:val="0"/>
                <w:sz w:val="32"/>
                <w:szCs w:val="32"/>
              </w:rPr>
              <w:t>统一社会信用代码：91440101MA9UTFB50C</w:t>
            </w:r>
          </w:p>
          <w:p>
            <w:pPr>
              <w:pStyle w:val="5"/>
              <w:keepNext w:val="0"/>
              <w:keepLines w:val="0"/>
              <w:widowControl/>
              <w:suppressLineNumbers w:val="0"/>
              <w:ind w:left="0" w:right="0"/>
              <w:jc w:val="both"/>
            </w:pPr>
            <w:r>
              <w:rPr>
                <w:rFonts w:hint="default" w:ascii="仿宋_GB2312" w:hAnsi="Times New Roman" w:eastAsia="仿宋_GB2312" w:cs="仿宋_GB2312"/>
                <w:i w:val="0"/>
                <w:iCs w:val="0"/>
                <w:caps w:val="0"/>
                <w:color w:val="000000"/>
                <w:spacing w:val="0"/>
                <w:sz w:val="32"/>
                <w:szCs w:val="32"/>
              </w:rPr>
              <w:t>地</w:t>
            </w:r>
            <w:r>
              <w:rPr>
                <w:rFonts w:hint="default" w:ascii="Times New Roman" w:hAnsi="Times New Roman" w:eastAsia="微软雅黑" w:cs="Times New Roman"/>
                <w:i w:val="0"/>
                <w:iCs w:val="0"/>
                <w:caps w:val="0"/>
                <w:color w:val="000000"/>
                <w:spacing w:val="0"/>
                <w:sz w:val="21"/>
                <w:szCs w:val="21"/>
              </w:rPr>
              <w:t>  </w:t>
            </w:r>
            <w:r>
              <w:rPr>
                <w:rFonts w:hint="default" w:ascii="仿宋_GB2312" w:hAnsi="Times New Roman" w:eastAsia="仿宋_GB2312" w:cs="仿宋_GB2312"/>
                <w:i w:val="0"/>
                <w:iCs w:val="0"/>
                <w:caps w:val="0"/>
                <w:color w:val="000000"/>
                <w:spacing w:val="0"/>
                <w:sz w:val="32"/>
                <w:szCs w:val="32"/>
              </w:rPr>
              <w:t>址：</w:t>
            </w:r>
            <w:r>
              <w:rPr>
                <w:rFonts w:hint="eastAsia" w:ascii="仿宋_GB2312" w:hAnsi="仿宋" w:eastAsia="仿宋_GB2312"/>
                <w:color w:val="000000"/>
                <w:sz w:val="32"/>
                <w:szCs w:val="32"/>
              </w:rPr>
              <w:t>广州市白云区石井街鸦岗金沙围</w:t>
            </w:r>
            <w:r>
              <w:rPr>
                <w:rFonts w:eastAsia="仿宋_GB2312"/>
                <w:color w:val="000000"/>
                <w:sz w:val="32"/>
                <w:szCs w:val="32"/>
              </w:rPr>
              <w:t>路23号</w:t>
            </w:r>
          </w:p>
          <w:p>
            <w:pPr>
              <w:pStyle w:val="5"/>
              <w:keepNext w:val="0"/>
              <w:keepLines w:val="0"/>
              <w:widowControl/>
              <w:suppressLineNumbers w:val="0"/>
              <w:ind w:left="0" w:right="0"/>
              <w:jc w:val="both"/>
            </w:pPr>
          </w:p>
          <w:p>
            <w:pPr>
              <w:spacing w:line="560" w:lineRule="exact"/>
              <w:ind w:firstLine="640" w:firstLineChars="200"/>
              <w:rPr>
                <w:rFonts w:hint="eastAsia" w:ascii="黑体" w:hAnsi="黑体" w:eastAsia="黑体"/>
                <w:color w:val="000000"/>
                <w:sz w:val="32"/>
                <w:szCs w:val="32"/>
              </w:rPr>
            </w:pPr>
            <w:r>
              <w:rPr>
                <w:rFonts w:hint="eastAsia" w:ascii="黑体" w:hAnsi="黑体" w:eastAsia="黑体"/>
                <w:color w:val="000000"/>
                <w:sz w:val="32"/>
                <w:szCs w:val="32"/>
              </w:rPr>
              <w:t>一、当事人基本情况及违法事实情况</w:t>
            </w:r>
          </w:p>
          <w:p>
            <w:pPr>
              <w:spacing w:line="560" w:lineRule="exact"/>
              <w:ind w:firstLine="640" w:firstLineChars="200"/>
              <w:rPr>
                <w:rFonts w:hint="eastAsia" w:ascii="仿宋_GB2312" w:hAnsi="仿宋" w:eastAsia="仿宋_GB2312"/>
                <w:bCs/>
                <w:color w:val="000000"/>
                <w:sz w:val="32"/>
                <w:szCs w:val="32"/>
              </w:rPr>
            </w:pPr>
            <w:r>
              <w:rPr>
                <w:rFonts w:eastAsia="仿宋_GB2312"/>
                <w:color w:val="000000"/>
                <w:sz w:val="32"/>
                <w:szCs w:val="32"/>
              </w:rPr>
              <w:t>经我局执法</w:t>
            </w:r>
            <w:r>
              <w:rPr>
                <w:rFonts w:hint="eastAsia" w:eastAsia="仿宋_GB2312"/>
                <w:color w:val="000000"/>
                <w:sz w:val="32"/>
                <w:szCs w:val="32"/>
              </w:rPr>
              <w:t>人员调</w:t>
            </w:r>
            <w:r>
              <w:rPr>
                <w:rFonts w:eastAsia="仿宋_GB2312"/>
                <w:color w:val="000000"/>
                <w:sz w:val="32"/>
                <w:szCs w:val="32"/>
              </w:rPr>
              <w:t>查发现，</w:t>
            </w:r>
            <w:r>
              <w:rPr>
                <w:rFonts w:hint="eastAsia" w:eastAsia="仿宋_GB2312"/>
                <w:color w:val="000000"/>
                <w:sz w:val="32"/>
                <w:szCs w:val="32"/>
              </w:rPr>
              <w:t>当事人</w:t>
            </w:r>
            <w:r>
              <w:rPr>
                <w:rFonts w:hint="eastAsia" w:hAnsi="仿宋" w:eastAsia="仿宋"/>
                <w:color w:val="000000"/>
                <w:sz w:val="32"/>
                <w:szCs w:val="32"/>
              </w:rPr>
              <w:t>主要从事机动车检测经营服务，已取得相关检测资质，业务包括机动车尾气检测，设有2条简易瞬态工况轻型汽油车检测线和1条加载减速法重型柴油车检测线。经查，</w:t>
            </w:r>
            <w:r>
              <w:rPr>
                <w:rFonts w:hint="eastAsia" w:eastAsia="仿宋_GB2312"/>
                <w:color w:val="000000"/>
                <w:sz w:val="32"/>
                <w:szCs w:val="32"/>
              </w:rPr>
              <w:t>当事人</w:t>
            </w:r>
            <w:r>
              <w:rPr>
                <w:rFonts w:hint="eastAsia" w:hAnsi="仿宋" w:eastAsia="仿宋"/>
                <w:color w:val="000000"/>
                <w:sz w:val="32"/>
                <w:szCs w:val="32"/>
              </w:rPr>
              <w:t>自2021年3月投产以来，在对部分车辆进行排气检测过程中，存在以下违法行为：一、以OBD模拟器（系当事人法定代表人李高山网购）代替检测车辆车载OBD系统（即车载自动诊断系统）方式进行虚假检测，并出具了合格的检测报告；已查明使用上述方式出具虚假排放检验报告的涉案车辆包括：粤AM690L（2021年3月18日检测，收取检测费用170元）、粤A305TE（2021年3月22日检测，收取检测费用170元）、粤A2LE45（2021年3月22日检测，收取检测费用170元）、粤A1Q4D9（2021年3月23日检测，收取检测费用250元）、粤A6U0T8（2021年10月9日检测，收取检测费用250元）、粤A3N1L6（2021年10月11日检测，收取检测费用250元）、粤AF70B8（2021年10月8日检测，收取检测费用170元）、粤A9HS97（2021年10月8日检测，收取检测费用170元）、粤A2F7S0（2021年10月8日检测，收取检测费用170元）、粤AG6T84（2021年10月18日检测，收取检测费用170元）。二、将本应放置在检测车辆发动机上的发动机转速计感应器放置在检测车辆附近的机箱柜上，并以在机箱柜上测得的数据代替检测车辆转速计检测数据，出具了合格的检测报告；已查明使用上述方式出具虚假排放检验报告的涉案车辆包括：粤ADN996（2021年7月26日检测，收取检测费用250元）、粤A0M5E2（2021年7月28日检测，收取检测费用250元）、粤A8Q5E9（2021年8月2日检测，收取检测费用250元）、粤A4GY82（2021年11月11日检测，收取检测费用250元）以及前述的检测车辆粤A6U0T8和粤A3N1L6。</w:t>
            </w:r>
            <w:r>
              <w:rPr>
                <w:rFonts w:hint="eastAsia" w:eastAsia="仿宋_GB2312"/>
                <w:color w:val="000000"/>
                <w:sz w:val="32"/>
                <w:szCs w:val="32"/>
              </w:rPr>
              <w:t>当事人</w:t>
            </w:r>
            <w:r>
              <w:rPr>
                <w:rFonts w:hint="eastAsia" w:hAnsi="仿宋" w:eastAsia="仿宋"/>
                <w:color w:val="000000"/>
                <w:sz w:val="32"/>
                <w:szCs w:val="32"/>
              </w:rPr>
              <w:t>对上述14台涉案车辆收取的检测费用合计人民币2940元。</w:t>
            </w:r>
          </w:p>
          <w:p>
            <w:pPr>
              <w:spacing w:line="560" w:lineRule="exact"/>
              <w:ind w:firstLine="640" w:firstLineChars="200"/>
              <w:rPr>
                <w:rFonts w:hint="eastAsia" w:hAnsi="仿宋" w:eastAsia="仿宋"/>
                <w:color w:val="000000"/>
                <w:sz w:val="32"/>
                <w:szCs w:val="32"/>
              </w:rPr>
            </w:pPr>
            <w:r>
              <w:rPr>
                <w:rFonts w:hint="eastAsia" w:hAnsi="仿宋" w:eastAsia="仿宋"/>
                <w:color w:val="000000"/>
                <w:sz w:val="32"/>
                <w:szCs w:val="32"/>
              </w:rPr>
              <w:t>以上事实，有现场检查笔录、调查询问笔录、听证笔录、现场检查照片、营业执照（副本）、厂企单位员工情况登记表、检验检测机构资质认定证书、机动车排气检测人员合格证、广东省广州生态环境监测中心站关于广州市广禾机动车检测有限公司排气检验涉嫌弄虚作假的情况报告、广东省广州生态环境监测中心站关于配合提供广州市广禾机动车检测有限公司涉嫌违反《中华人民共和国大气污染防治法》案件证据材料的复函、在用车加载减速法排气污染物检测报告、在用车简易瞬态工况法排气污染物检测报告、机动车检测收费标准调整通知、收款收据等证据为证。</w:t>
            </w:r>
          </w:p>
          <w:p>
            <w:pPr>
              <w:spacing w:line="560" w:lineRule="exact"/>
              <w:ind w:firstLine="640" w:firstLineChars="200"/>
              <w:rPr>
                <w:rFonts w:ascii="黑体" w:hAnsi="黑体" w:eastAsia="黑体"/>
                <w:color w:val="000000"/>
                <w:sz w:val="32"/>
                <w:szCs w:val="32"/>
              </w:rPr>
            </w:pPr>
            <w:r>
              <w:rPr>
                <w:rFonts w:hint="eastAsia" w:ascii="黑体" w:hAnsi="黑体" w:eastAsia="黑体"/>
                <w:color w:val="000000"/>
                <w:sz w:val="32"/>
                <w:szCs w:val="32"/>
              </w:rPr>
              <w:t>二、规范依据、拟处罚告知及意见采纳情况及处罚内容</w:t>
            </w:r>
          </w:p>
          <w:p>
            <w:pPr>
              <w:pStyle w:val="2"/>
              <w:tabs>
                <w:tab w:val="left" w:pos="7982"/>
              </w:tabs>
              <w:spacing w:line="560" w:lineRule="exact"/>
              <w:ind w:right="368" w:firstLine="640" w:firstLineChars="200"/>
              <w:rPr>
                <w:rFonts w:hint="eastAsia" w:ascii="仿宋_GB2312" w:hAnsi="仿宋" w:eastAsia="仿宋_GB2312"/>
                <w:color w:val="000000"/>
                <w:sz w:val="32"/>
                <w:szCs w:val="32"/>
              </w:rPr>
            </w:pPr>
            <w:r>
              <w:rPr>
                <w:rFonts w:hint="eastAsia" w:ascii="仿宋_GB2312" w:hAnsi="仿宋" w:eastAsia="仿宋_GB2312"/>
                <w:color w:val="000000"/>
                <w:sz w:val="32"/>
                <w:szCs w:val="32"/>
              </w:rPr>
              <w:t>当事人多次</w:t>
            </w:r>
            <w:r>
              <w:rPr>
                <w:rFonts w:hint="eastAsia" w:hAnsi="仿宋" w:eastAsia="仿宋"/>
                <w:color w:val="000000"/>
                <w:sz w:val="32"/>
                <w:szCs w:val="32"/>
              </w:rPr>
              <w:t>出具虚假的机动车排放检验报告</w:t>
            </w:r>
            <w:r>
              <w:rPr>
                <w:rFonts w:hint="eastAsia" w:ascii="仿宋_GB2312" w:hAnsi="仿宋" w:eastAsia="仿宋_GB2312"/>
                <w:color w:val="000000"/>
                <w:sz w:val="32"/>
                <w:szCs w:val="32"/>
              </w:rPr>
              <w:t>的行为违反了《</w:t>
            </w:r>
            <w:r>
              <w:rPr>
                <w:rFonts w:hint="eastAsia" w:hAnsi="仿宋" w:eastAsia="仿宋"/>
                <w:color w:val="000000"/>
                <w:sz w:val="32"/>
                <w:szCs w:val="32"/>
              </w:rPr>
              <w:t>中华人民共和国大气污染防治法》第五十四条第一款</w:t>
            </w:r>
            <w:r>
              <w:rPr>
                <w:rFonts w:hint="eastAsia" w:ascii="仿宋_GB2312" w:hAnsi="仿宋" w:eastAsia="仿宋_GB2312"/>
                <w:color w:val="000000"/>
                <w:sz w:val="32"/>
                <w:szCs w:val="32"/>
              </w:rPr>
              <w:t>的规定。我局于</w:t>
            </w:r>
            <w:r>
              <w:rPr>
                <w:rFonts w:hint="eastAsia" w:hAnsi="仿宋" w:eastAsia="仿宋"/>
                <w:color w:val="000000"/>
                <w:sz w:val="32"/>
                <w:szCs w:val="32"/>
              </w:rPr>
              <w:t>2022</w:t>
            </w:r>
            <w:r>
              <w:rPr>
                <w:rFonts w:hint="eastAsia" w:ascii="仿宋_GB2312" w:hAnsi="仿宋" w:eastAsia="仿宋_GB2312"/>
                <w:color w:val="000000"/>
                <w:sz w:val="32"/>
                <w:szCs w:val="32"/>
              </w:rPr>
              <w:t>年</w:t>
            </w:r>
            <w:r>
              <w:rPr>
                <w:rFonts w:hint="eastAsia" w:hAnsi="仿宋" w:eastAsia="仿宋"/>
                <w:color w:val="000000"/>
                <w:sz w:val="32"/>
                <w:szCs w:val="32"/>
              </w:rPr>
              <w:t>1</w:t>
            </w:r>
            <w:r>
              <w:rPr>
                <w:rFonts w:hint="eastAsia" w:ascii="仿宋_GB2312" w:hAnsi="仿宋" w:eastAsia="仿宋_GB2312"/>
                <w:color w:val="000000"/>
                <w:sz w:val="32"/>
                <w:szCs w:val="32"/>
              </w:rPr>
              <w:t>月15日向当事人送达《行政处罚听证告知书》（穗环法告〔</w:t>
            </w:r>
            <w:r>
              <w:rPr>
                <w:rFonts w:hAnsi="仿宋" w:eastAsia="仿宋"/>
                <w:color w:val="000000"/>
                <w:sz w:val="32"/>
                <w:szCs w:val="32"/>
              </w:rPr>
              <w:t>20</w:t>
            </w:r>
            <w:r>
              <w:rPr>
                <w:rFonts w:hint="eastAsia" w:hAnsi="仿宋" w:eastAsia="仿宋"/>
                <w:color w:val="000000"/>
                <w:sz w:val="32"/>
                <w:szCs w:val="32"/>
              </w:rPr>
              <w:t>22</w:t>
            </w:r>
            <w:r>
              <w:rPr>
                <w:rFonts w:hint="eastAsia" w:ascii="仿宋_GB2312" w:hAnsi="仿宋" w:eastAsia="仿宋_GB2312"/>
                <w:color w:val="000000"/>
                <w:sz w:val="32"/>
                <w:szCs w:val="32"/>
              </w:rPr>
              <w:t>〕</w:t>
            </w:r>
            <w:r>
              <w:rPr>
                <w:rFonts w:hint="eastAsia" w:hAnsi="仿宋" w:eastAsia="仿宋"/>
                <w:color w:val="000000"/>
                <w:sz w:val="32"/>
                <w:szCs w:val="32"/>
              </w:rPr>
              <w:t>1</w:t>
            </w:r>
            <w:r>
              <w:rPr>
                <w:rFonts w:hint="eastAsia" w:ascii="仿宋_GB2312" w:hAnsi="仿宋" w:eastAsia="仿宋_GB2312"/>
                <w:color w:val="000000"/>
                <w:sz w:val="32"/>
                <w:szCs w:val="32"/>
              </w:rPr>
              <w:t>号），告知当事人拟作出的处罚内容及事实、理由、依据，并告知了陈述、申辩和要求听证的权</w:t>
            </w:r>
            <w:r>
              <w:rPr>
                <w:rFonts w:hint="eastAsia" w:hAnsi="仿宋" w:eastAsia="仿宋"/>
                <w:color w:val="000000"/>
                <w:sz w:val="32"/>
                <w:szCs w:val="32"/>
              </w:rPr>
              <w:t>利。当事人于2022年1月16日</w:t>
            </w:r>
            <w:r>
              <w:rPr>
                <w:rFonts w:hint="eastAsia" w:ascii="仿宋_GB2312" w:hAnsi="仿宋" w:eastAsia="仿宋_GB2312"/>
                <w:color w:val="000000"/>
                <w:sz w:val="32"/>
                <w:szCs w:val="32"/>
              </w:rPr>
              <w:t>向我局提交了书面听证申请。</w:t>
            </w:r>
            <w:r>
              <w:rPr>
                <w:rFonts w:hint="eastAsia" w:eastAsia="仿宋_GB2312"/>
                <w:color w:val="000000"/>
                <w:sz w:val="32"/>
                <w:szCs w:val="32"/>
              </w:rPr>
              <w:t>2022年1月29日，我局依法组织召开听证会，当事人主要听证及陈述申辩意见如下：</w:t>
            </w:r>
            <w:r>
              <w:rPr>
                <w:rFonts w:hint="eastAsia" w:hAnsi="仿宋" w:eastAsia="仿宋"/>
                <w:color w:val="000000"/>
                <w:sz w:val="32"/>
                <w:szCs w:val="32"/>
              </w:rPr>
              <w:t>1、告知书套用的处罚依据不适宜，该司违规事件均发生在2021年，根据法律“从旧兼从轻”原则，不适宜套用《广东省生态环境行政处罚自由裁量权规定》；2</w:t>
            </w:r>
            <w:r>
              <w:rPr>
                <w:rFonts w:hint="eastAsia" w:ascii="仿宋_GB2312" w:hAnsi="仿宋" w:eastAsia="仿宋_GB2312"/>
                <w:color w:val="000000"/>
                <w:sz w:val="32"/>
                <w:szCs w:val="32"/>
              </w:rPr>
              <w:t>、</w:t>
            </w:r>
            <w:r>
              <w:rPr>
                <w:rFonts w:hint="eastAsia" w:hAnsi="仿宋" w:eastAsia="仿宋"/>
                <w:color w:val="000000"/>
                <w:sz w:val="32"/>
                <w:szCs w:val="32"/>
              </w:rPr>
              <w:t>该司主观上并无通过违法违规牟利的思想，只是合规意识不强，采用了错误的手段去帮助车主；3</w:t>
            </w:r>
            <w:r>
              <w:rPr>
                <w:rFonts w:hint="eastAsia" w:ascii="仿宋_GB2312" w:hAnsi="仿宋" w:eastAsia="仿宋_GB2312"/>
                <w:color w:val="000000"/>
                <w:sz w:val="32"/>
                <w:szCs w:val="32"/>
              </w:rPr>
              <w:t>、</w:t>
            </w:r>
            <w:r>
              <w:rPr>
                <w:rFonts w:hint="eastAsia" w:hAnsi="仿宋" w:eastAsia="仿宋"/>
                <w:color w:val="000000"/>
                <w:sz w:val="32"/>
                <w:szCs w:val="32"/>
              </w:rPr>
              <w:t>本次违法违规造成的不良影响较小，情节轻微，且该司在调查期间积极配合调查、勇于认错，希望能够综合考虑酌情从轻处理；4、企业经营存在困难，无力支付罚款，企业法定代表人也身患重病需要治疗，此次事件发生后该司已停业整改一个半月，组织员工开展学习检讨和自查自纠，并已在媒体报刊上公开道歉；综上，申请从轻减轻处罚。2022年2月14日，我局对当事人进行了现场复查，当事人已整改上述违法行为。</w:t>
            </w:r>
          </w:p>
          <w:p>
            <w:pPr>
              <w:spacing w:line="560" w:lineRule="exact"/>
              <w:ind w:firstLine="640" w:firstLineChars="200"/>
              <w:rPr>
                <w:rFonts w:hint="eastAsia" w:ascii="仿宋_GB2312" w:hAnsi="仿宋" w:eastAsia="仿宋_GB2312"/>
                <w:color w:val="000000"/>
                <w:sz w:val="32"/>
                <w:szCs w:val="32"/>
              </w:rPr>
            </w:pPr>
            <w:r>
              <w:rPr>
                <w:rFonts w:hint="eastAsia" w:ascii="仿宋_GB2312" w:hAnsi="仿宋" w:eastAsia="仿宋_GB2312"/>
                <w:color w:val="000000"/>
                <w:sz w:val="32"/>
                <w:szCs w:val="32"/>
              </w:rPr>
              <w:t>经审理，我局认为，当事人作为向社会出具具有证明作用的数据和结果的</w:t>
            </w:r>
            <w:r>
              <w:rPr>
                <w:rFonts w:hint="eastAsia" w:hAnsi="仿宋" w:eastAsia="仿宋"/>
                <w:color w:val="000000"/>
                <w:sz w:val="32"/>
                <w:szCs w:val="32"/>
              </w:rPr>
              <w:t>机动车检测经营服务单位，多次出具虚假的机动车排放检验报告的</w:t>
            </w:r>
            <w:r>
              <w:rPr>
                <w:rFonts w:hint="eastAsia" w:ascii="仿宋_GB2312" w:hAnsi="仿宋" w:eastAsia="仿宋_GB2312"/>
                <w:color w:val="000000"/>
                <w:sz w:val="32"/>
                <w:szCs w:val="32"/>
              </w:rPr>
              <w:t>行为，应当予以处罚；当事人虽已向社会公开登报道歉, 但其</w:t>
            </w:r>
            <w:r>
              <w:rPr>
                <w:rFonts w:hint="eastAsia" w:hAnsi="仿宋" w:eastAsia="仿宋"/>
                <w:color w:val="000000"/>
                <w:sz w:val="32"/>
                <w:szCs w:val="32"/>
              </w:rPr>
              <w:t>多次出具虚假的机动车排放检验报告的</w:t>
            </w:r>
            <w:r>
              <w:rPr>
                <w:rFonts w:hint="eastAsia" w:ascii="仿宋_GB2312" w:hAnsi="仿宋" w:eastAsia="仿宋_GB2312"/>
                <w:color w:val="000000"/>
                <w:sz w:val="32"/>
                <w:szCs w:val="32"/>
              </w:rPr>
              <w:t>行为属于</w:t>
            </w:r>
            <w:r>
              <w:rPr>
                <w:rFonts w:ascii="仿宋_GB2312" w:hAnsi="仿宋" w:eastAsia="仿宋_GB2312"/>
                <w:color w:val="000000"/>
                <w:sz w:val="32"/>
                <w:szCs w:val="32"/>
              </w:rPr>
              <w:t>《</w:t>
            </w:r>
            <w:r>
              <w:rPr>
                <w:rFonts w:hint="eastAsia" w:ascii="仿宋_GB2312" w:hAnsi="仿宋" w:eastAsia="仿宋_GB2312"/>
                <w:color w:val="000000"/>
                <w:sz w:val="32"/>
                <w:szCs w:val="32"/>
              </w:rPr>
              <w:t>广东省生态</w:t>
            </w:r>
            <w:r>
              <w:rPr>
                <w:rFonts w:ascii="仿宋_GB2312" w:hAnsi="仿宋" w:eastAsia="仿宋_GB2312"/>
                <w:color w:val="000000"/>
                <w:sz w:val="32"/>
                <w:szCs w:val="32"/>
              </w:rPr>
              <w:t>环境行政处罚自由裁量权规定》</w:t>
            </w:r>
            <w:r>
              <w:rPr>
                <w:rFonts w:hint="eastAsia" w:ascii="仿宋_GB2312" w:hAnsi="仿宋" w:eastAsia="仿宋_GB2312"/>
                <w:color w:val="000000"/>
                <w:sz w:val="32"/>
                <w:szCs w:val="32"/>
              </w:rPr>
              <w:t>第十四条第一款规定的不适用公开道歉承诺从轻制度的情形；但是，考虑到当事人积极配合调查且已整改完毕，以及疫情</w:t>
            </w:r>
            <w:r>
              <w:rPr>
                <w:rFonts w:hint="eastAsia" w:ascii="仿宋_GB2312" w:eastAsia="仿宋_GB2312"/>
                <w:color w:val="000000"/>
                <w:sz w:val="32"/>
                <w:szCs w:val="32"/>
              </w:rPr>
              <w:t>防控常态化期间保障“六稳”“六保”工作需要，我局决定部分采纳当事人的申辩意见，在告知罚款金额基础上予以从轻处罚</w:t>
            </w:r>
            <w:r>
              <w:rPr>
                <w:rFonts w:hint="eastAsia" w:ascii="仿宋_GB2312" w:hAnsi="仿宋" w:eastAsia="仿宋_GB2312"/>
                <w:color w:val="000000"/>
                <w:sz w:val="32"/>
                <w:szCs w:val="32"/>
              </w:rPr>
              <w:t>。</w:t>
            </w:r>
            <w:r>
              <w:rPr>
                <w:rFonts w:hint="eastAsia" w:ascii="仿宋_GB2312" w:eastAsia="仿宋_GB2312"/>
                <w:color w:val="000000"/>
                <w:sz w:val="32"/>
                <w:szCs w:val="32"/>
              </w:rPr>
              <w:t>现本案经我局审查结束。</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根据</w:t>
            </w:r>
            <w:r>
              <w:rPr>
                <w:rFonts w:hint="eastAsia" w:ascii="仿宋_GB2312" w:hAnsi="仿宋" w:eastAsia="仿宋_GB2312"/>
                <w:color w:val="000000"/>
                <w:sz w:val="32"/>
                <w:szCs w:val="32"/>
              </w:rPr>
              <w:t>《</w:t>
            </w:r>
            <w:r>
              <w:rPr>
                <w:rFonts w:hint="eastAsia" w:hAnsi="仿宋" w:eastAsia="仿宋"/>
                <w:color w:val="000000"/>
                <w:sz w:val="32"/>
                <w:szCs w:val="32"/>
              </w:rPr>
              <w:t>中华人民共和国大气污染防治法》第一百一十二条第一款</w:t>
            </w:r>
            <w:r>
              <w:rPr>
                <w:rFonts w:hAnsi="仿宋" w:eastAsia="仿宋"/>
                <w:color w:val="000000"/>
                <w:sz w:val="32"/>
                <w:szCs w:val="32"/>
              </w:rPr>
              <w:t>及《</w:t>
            </w:r>
            <w:r>
              <w:rPr>
                <w:rFonts w:hint="eastAsia" w:hAnsi="仿宋" w:eastAsia="仿宋"/>
                <w:color w:val="000000"/>
                <w:sz w:val="32"/>
                <w:szCs w:val="32"/>
              </w:rPr>
              <w:t>广东省生态</w:t>
            </w:r>
            <w:r>
              <w:rPr>
                <w:rFonts w:hAnsi="仿宋" w:eastAsia="仿宋"/>
                <w:color w:val="000000"/>
                <w:sz w:val="32"/>
                <w:szCs w:val="32"/>
              </w:rPr>
              <w:t>环境行政处罚自由裁量权规定》附件</w:t>
            </w:r>
            <w:r>
              <w:rPr>
                <w:rFonts w:hint="eastAsia" w:hAnsi="仿宋" w:eastAsia="仿宋"/>
                <w:color w:val="000000"/>
                <w:sz w:val="32"/>
                <w:szCs w:val="32"/>
              </w:rPr>
              <w:t>1</w:t>
            </w:r>
            <w:r>
              <w:rPr>
                <w:rFonts w:hAnsi="仿宋" w:eastAsia="仿宋"/>
                <w:color w:val="000000"/>
                <w:sz w:val="32"/>
                <w:szCs w:val="32"/>
              </w:rPr>
              <w:t>第</w:t>
            </w:r>
            <w:r>
              <w:rPr>
                <w:rFonts w:hint="eastAsia" w:hAnsi="仿宋" w:eastAsia="仿宋"/>
                <w:color w:val="000000"/>
                <w:sz w:val="32"/>
                <w:szCs w:val="32"/>
              </w:rPr>
              <w:t>3.23项</w:t>
            </w:r>
            <w:r>
              <w:rPr>
                <w:rFonts w:hint="eastAsia" w:ascii="仿宋_GB2312" w:hAnsi="仿宋" w:eastAsia="仿宋_GB2312"/>
                <w:color w:val="000000"/>
                <w:sz w:val="32"/>
                <w:szCs w:val="32"/>
              </w:rPr>
              <w:t>的规定，我局现对当事人作出如下行政处罚：</w:t>
            </w:r>
          </w:p>
          <w:p>
            <w:pPr>
              <w:spacing w:line="560" w:lineRule="exact"/>
              <w:ind w:firstLine="640" w:firstLineChars="200"/>
              <w:rPr>
                <w:rFonts w:hint="eastAsia" w:eastAsia="仿宋_GB2312"/>
                <w:color w:val="000000"/>
                <w:sz w:val="32"/>
                <w:szCs w:val="32"/>
              </w:rPr>
            </w:pPr>
            <w:r>
              <w:rPr>
                <w:rFonts w:hint="eastAsia" w:hAnsi="仿宋" w:eastAsia="仿宋"/>
                <w:color w:val="000000"/>
                <w:sz w:val="32"/>
                <w:szCs w:val="32"/>
              </w:rPr>
              <w:t>没收违法所得2940元，并处</w:t>
            </w:r>
            <w:r>
              <w:rPr>
                <w:rFonts w:hAnsi="仿宋" w:eastAsia="仿宋"/>
                <w:color w:val="000000"/>
                <w:sz w:val="32"/>
                <w:szCs w:val="32"/>
              </w:rPr>
              <w:t>罚款</w:t>
            </w:r>
            <w:r>
              <w:rPr>
                <w:rFonts w:hint="eastAsia" w:hAnsi="仿宋" w:eastAsia="仿宋"/>
                <w:color w:val="000000"/>
                <w:sz w:val="32"/>
                <w:szCs w:val="32"/>
              </w:rPr>
              <w:t>40</w:t>
            </w:r>
            <w:r>
              <w:rPr>
                <w:rFonts w:hAnsi="仿宋" w:eastAsia="仿宋"/>
                <w:color w:val="000000"/>
                <w:sz w:val="32"/>
                <w:szCs w:val="32"/>
              </w:rPr>
              <w:t>万元</w:t>
            </w:r>
            <w:r>
              <w:rPr>
                <w:rFonts w:hint="eastAsia" w:ascii="仿宋_GB2312" w:eastAsia="仿宋_GB2312"/>
                <w:color w:val="000000"/>
                <w:sz w:val="32"/>
                <w:szCs w:val="32"/>
              </w:rPr>
              <w:t>。</w:t>
            </w:r>
          </w:p>
          <w:p>
            <w:pPr>
              <w:spacing w:line="560" w:lineRule="exact"/>
              <w:ind w:firstLine="640" w:firstLineChars="200"/>
              <w:rPr>
                <w:rFonts w:ascii="黑体" w:hAnsi="黑体" w:eastAsia="黑体"/>
                <w:color w:val="000000"/>
                <w:sz w:val="32"/>
                <w:szCs w:val="32"/>
              </w:rPr>
            </w:pPr>
            <w:r>
              <w:rPr>
                <w:rFonts w:hint="eastAsia" w:ascii="黑体" w:hAnsi="黑体" w:eastAsia="黑体"/>
                <w:color w:val="000000"/>
                <w:sz w:val="32"/>
                <w:szCs w:val="32"/>
              </w:rPr>
              <w:t>三、处罚内容的履行要求和当事人的救济权利</w:t>
            </w:r>
          </w:p>
          <w:p>
            <w:pPr>
              <w:spacing w:line="560" w:lineRule="exact"/>
              <w:ind w:firstLine="640" w:firstLineChars="200"/>
              <w:rPr>
                <w:rFonts w:hint="eastAsia" w:eastAsia="仿宋_GB2312"/>
                <w:color w:val="000000"/>
                <w:sz w:val="32"/>
                <w:szCs w:val="32"/>
              </w:rPr>
            </w:pPr>
            <w:r>
              <w:rPr>
                <w:rFonts w:hint="eastAsia" w:ascii="仿宋_GB2312" w:eastAsia="仿宋_GB2312"/>
                <w:color w:val="000000"/>
                <w:sz w:val="32"/>
                <w:szCs w:val="32"/>
              </w:rPr>
              <w:t>限当事人在收到本处罚决定书之日起</w:t>
            </w:r>
            <w:r>
              <w:rPr>
                <w:rFonts w:eastAsia="仿宋_GB2312"/>
                <w:color w:val="000000"/>
                <w:sz w:val="32"/>
                <w:szCs w:val="32"/>
              </w:rPr>
              <w:t>15日内，按照《广州市非税收入缴款通知书》的要求，将上述罚款缴到非税收入代收银行（工商银行、建设银行、广州银行、广州农村商业银行、中国银行、农业银行、邮政储蓄银行、交通银行、光大银行、中信银行、广发银行、浦发银行、华夏银行</w:t>
            </w:r>
            <w:r>
              <w:rPr>
                <w:rFonts w:hint="eastAsia" w:eastAsia="仿宋_GB2312"/>
                <w:color w:val="000000"/>
                <w:sz w:val="32"/>
                <w:szCs w:val="32"/>
              </w:rPr>
              <w:t>、招商银行、民生银行、兴业银行、平安银行、广东华兴银行、创兴银行、浙商银行、渤海银行、珠海华润银行、九江银行、东莞银行、江西银行、广东南粤银行、长沙银行</w:t>
            </w:r>
            <w:r>
              <w:rPr>
                <w:rFonts w:eastAsia="仿宋_GB2312"/>
                <w:color w:val="000000"/>
                <w:sz w:val="32"/>
                <w:szCs w:val="32"/>
              </w:rPr>
              <w:t>），收入项目编码：3124。</w:t>
            </w:r>
            <w:r>
              <w:rPr>
                <w:rFonts w:eastAsia="仿宋_GB2312"/>
                <w:color w:val="000000"/>
                <w:sz w:val="32"/>
                <w:szCs w:val="32"/>
              </w:rPr>
              <w:br w:type="textWrapping"/>
            </w:r>
            <w:r>
              <w:rPr>
                <w:rFonts w:hint="eastAsia" w:eastAsia="仿宋_GB2312"/>
                <w:color w:val="000000"/>
                <w:sz w:val="32"/>
                <w:szCs w:val="32"/>
              </w:rPr>
              <w:t xml:space="preserve">    如不服上述行政处罚决定，可在接到本决定之日起</w:t>
            </w:r>
            <w:r>
              <w:rPr>
                <w:rFonts w:eastAsia="仿宋_GB2312"/>
                <w:color w:val="000000"/>
                <w:sz w:val="32"/>
                <w:szCs w:val="32"/>
              </w:rPr>
              <w:t>60</w:t>
            </w:r>
            <w:r>
              <w:rPr>
                <w:rFonts w:hint="eastAsia" w:eastAsia="仿宋_GB2312"/>
                <w:color w:val="000000"/>
                <w:sz w:val="32"/>
                <w:szCs w:val="32"/>
              </w:rPr>
              <w:t>日内，向广州市人民政府（地址：越秀区小北路</w:t>
            </w:r>
            <w:r>
              <w:rPr>
                <w:rFonts w:eastAsia="仿宋_GB2312"/>
                <w:color w:val="000000"/>
                <w:sz w:val="32"/>
                <w:szCs w:val="32"/>
              </w:rPr>
              <w:t>183</w:t>
            </w:r>
            <w:r>
              <w:rPr>
                <w:rFonts w:hint="eastAsia" w:eastAsia="仿宋_GB2312"/>
                <w:color w:val="000000"/>
                <w:sz w:val="32"/>
                <w:szCs w:val="32"/>
              </w:rPr>
              <w:t>号金和大厦</w:t>
            </w:r>
            <w:r>
              <w:rPr>
                <w:rFonts w:eastAsia="仿宋_GB2312"/>
                <w:color w:val="000000"/>
                <w:sz w:val="32"/>
                <w:szCs w:val="32"/>
              </w:rPr>
              <w:t>2</w:t>
            </w:r>
            <w:r>
              <w:rPr>
                <w:rFonts w:hint="eastAsia" w:eastAsia="仿宋_GB2312"/>
                <w:color w:val="000000"/>
                <w:sz w:val="32"/>
                <w:szCs w:val="32"/>
              </w:rPr>
              <w:t>楼，电话：</w:t>
            </w:r>
            <w:r>
              <w:rPr>
                <w:rFonts w:eastAsia="仿宋_GB2312"/>
                <w:color w:val="000000"/>
                <w:sz w:val="32"/>
                <w:szCs w:val="32"/>
              </w:rPr>
              <w:t>83555988</w:t>
            </w:r>
            <w:r>
              <w:rPr>
                <w:rFonts w:hint="eastAsia" w:eastAsia="仿宋_GB2312"/>
                <w:color w:val="000000"/>
                <w:sz w:val="32"/>
                <w:szCs w:val="32"/>
              </w:rPr>
              <w:t>）或广东省生态环境厅（地址：天河区龙口西路</w:t>
            </w:r>
            <w:r>
              <w:rPr>
                <w:rFonts w:eastAsia="仿宋_GB2312"/>
                <w:color w:val="000000"/>
                <w:sz w:val="32"/>
                <w:szCs w:val="32"/>
              </w:rPr>
              <w:t>213</w:t>
            </w:r>
            <w:r>
              <w:rPr>
                <w:rFonts w:hint="eastAsia" w:eastAsia="仿宋_GB2312"/>
                <w:color w:val="000000"/>
                <w:sz w:val="32"/>
                <w:szCs w:val="32"/>
              </w:rPr>
              <w:t>号，电话：</w:t>
            </w:r>
            <w:r>
              <w:rPr>
                <w:rFonts w:eastAsia="仿宋_GB2312"/>
                <w:color w:val="000000"/>
                <w:sz w:val="32"/>
                <w:szCs w:val="32"/>
              </w:rPr>
              <w:t>87533928</w:t>
            </w:r>
            <w:r>
              <w:rPr>
                <w:rFonts w:hint="eastAsia" w:eastAsia="仿宋_GB2312"/>
                <w:color w:val="000000"/>
                <w:sz w:val="32"/>
                <w:szCs w:val="32"/>
              </w:rPr>
              <w:t>、</w:t>
            </w:r>
            <w:r>
              <w:rPr>
                <w:rFonts w:eastAsia="仿宋_GB2312"/>
                <w:color w:val="000000"/>
                <w:sz w:val="32"/>
                <w:szCs w:val="32"/>
              </w:rPr>
              <w:t>87531656</w:t>
            </w:r>
            <w:r>
              <w:rPr>
                <w:rFonts w:hint="eastAsia" w:eastAsia="仿宋_GB2312"/>
                <w:color w:val="000000"/>
                <w:sz w:val="32"/>
                <w:szCs w:val="32"/>
              </w:rPr>
              <w:t>）提出行政复议申请，或在</w:t>
            </w:r>
            <w:r>
              <w:rPr>
                <w:rFonts w:eastAsia="仿宋_GB2312"/>
                <w:color w:val="000000"/>
                <w:sz w:val="32"/>
                <w:szCs w:val="32"/>
              </w:rPr>
              <w:t>6</w:t>
            </w:r>
            <w:r>
              <w:rPr>
                <w:rFonts w:hint="eastAsia" w:eastAsia="仿宋_GB2312"/>
                <w:color w:val="000000"/>
                <w:sz w:val="32"/>
                <w:szCs w:val="32"/>
              </w:rPr>
              <w:t>个月内直接向有管辖权的人民法院提起行政诉讼。</w:t>
            </w:r>
            <w:r>
              <w:rPr>
                <w:rFonts w:eastAsia="仿宋_GB2312"/>
                <w:color w:val="000000"/>
                <w:sz w:val="32"/>
                <w:szCs w:val="32"/>
              </w:rPr>
              <w:t>行政复议、行政诉讼期间内，不得停止本决定的履行。</w:t>
            </w:r>
            <w:r>
              <w:rPr>
                <w:rFonts w:hint="eastAsia" w:eastAsia="仿宋_GB2312"/>
                <w:color w:val="000000"/>
                <w:sz w:val="32"/>
                <w:szCs w:val="32"/>
              </w:rPr>
              <w:t>根据《广东省人民政府关于县级以上人民政府统一行使行政复议职责有关事项的通告》（粤府函〔</w:t>
            </w:r>
            <w:r>
              <w:rPr>
                <w:rFonts w:eastAsia="仿宋_GB2312"/>
                <w:color w:val="000000"/>
                <w:sz w:val="32"/>
                <w:szCs w:val="32"/>
              </w:rPr>
              <w:t>2021</w:t>
            </w:r>
            <w:r>
              <w:rPr>
                <w:rFonts w:hint="eastAsia" w:eastAsia="仿宋_GB2312"/>
                <w:color w:val="000000"/>
                <w:sz w:val="32"/>
                <w:szCs w:val="32"/>
              </w:rPr>
              <w:t>〕</w:t>
            </w:r>
            <w:r>
              <w:rPr>
                <w:rFonts w:eastAsia="仿宋_GB2312"/>
                <w:color w:val="000000"/>
                <w:sz w:val="32"/>
                <w:szCs w:val="32"/>
              </w:rPr>
              <w:t>99</w:t>
            </w:r>
            <w:r>
              <w:rPr>
                <w:rFonts w:hint="eastAsia" w:eastAsia="仿宋_GB2312"/>
                <w:color w:val="000000"/>
                <w:sz w:val="32"/>
                <w:szCs w:val="32"/>
              </w:rPr>
              <w:t>号）的规定，自</w:t>
            </w:r>
            <w:r>
              <w:rPr>
                <w:rFonts w:eastAsia="仿宋_GB2312"/>
                <w:color w:val="000000"/>
                <w:sz w:val="32"/>
                <w:szCs w:val="32"/>
              </w:rPr>
              <w:t>2021</w:t>
            </w:r>
            <w:r>
              <w:rPr>
                <w:rFonts w:hint="eastAsia" w:eastAsia="仿宋_GB2312"/>
                <w:color w:val="000000"/>
                <w:sz w:val="32"/>
                <w:szCs w:val="32"/>
              </w:rPr>
              <w:t>年</w:t>
            </w:r>
            <w:r>
              <w:rPr>
                <w:rFonts w:eastAsia="仿宋_GB2312"/>
                <w:color w:val="000000"/>
                <w:sz w:val="32"/>
                <w:szCs w:val="32"/>
              </w:rPr>
              <w:t>6</w:t>
            </w:r>
            <w:r>
              <w:rPr>
                <w:rFonts w:hint="eastAsia" w:eastAsia="仿宋_GB2312"/>
                <w:color w:val="000000"/>
                <w:sz w:val="32"/>
                <w:szCs w:val="32"/>
              </w:rPr>
              <w:t>月</w:t>
            </w:r>
            <w:r>
              <w:rPr>
                <w:rFonts w:eastAsia="仿宋_GB2312"/>
                <w:color w:val="000000"/>
                <w:sz w:val="32"/>
                <w:szCs w:val="32"/>
              </w:rPr>
              <w:t>1</w:t>
            </w:r>
            <w:r>
              <w:rPr>
                <w:rFonts w:hint="eastAsia" w:eastAsia="仿宋_GB2312"/>
                <w:color w:val="000000"/>
                <w:sz w:val="32"/>
                <w:szCs w:val="32"/>
              </w:rPr>
              <w:t>日起县级以上人民政府统一行使行政复议职责，建议您向广州市人民政府提出行政复议申请。申请行政复议或提起行政诉讼的，不停止本决定的执行。</w:t>
            </w:r>
          </w:p>
          <w:p>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根据《中华人民共和国行政处罚法》第七十二条规定，当事人逾期不履行本处罚决定的，我局将每日按罚款额的百分之三加处罚款，并依照《中华人民共和国行政强制法》的规定申请人民法院强制执行。</w:t>
            </w:r>
          </w:p>
          <w:p>
            <w:pPr>
              <w:spacing w:line="560" w:lineRule="exact"/>
              <w:ind w:firstLine="640" w:firstLineChars="200"/>
              <w:rPr>
                <w:rFonts w:hint="eastAsia" w:eastAsia="仿宋_GB2312"/>
                <w:color w:val="000000"/>
                <w:sz w:val="32"/>
                <w:szCs w:val="32"/>
              </w:rPr>
            </w:pPr>
          </w:p>
          <w:p>
            <w:pPr>
              <w:spacing w:line="560" w:lineRule="exact"/>
              <w:ind w:right="960"/>
              <w:rPr>
                <w:rFonts w:hint="eastAsia" w:eastAsia="仿宋_GB2312"/>
                <w:color w:val="000000"/>
                <w:sz w:val="32"/>
                <w:szCs w:val="32"/>
              </w:rPr>
            </w:pPr>
          </w:p>
          <w:p>
            <w:pPr>
              <w:spacing w:line="560" w:lineRule="exact"/>
              <w:ind w:right="960"/>
              <w:rPr>
                <w:rFonts w:hint="eastAsia" w:eastAsia="仿宋_GB2312"/>
                <w:color w:val="000000"/>
                <w:sz w:val="32"/>
                <w:szCs w:val="32"/>
              </w:rPr>
            </w:pPr>
          </w:p>
          <w:p>
            <w:pPr>
              <w:spacing w:line="560" w:lineRule="exact"/>
              <w:ind w:right="1330"/>
              <w:jc w:val="right"/>
              <w:rPr>
                <w:rFonts w:hint="eastAsia" w:eastAsia="仿宋_GB2312"/>
                <w:color w:val="000000"/>
                <w:sz w:val="32"/>
                <w:szCs w:val="32"/>
              </w:rPr>
            </w:pPr>
            <w:r>
              <w:rPr>
                <w:rFonts w:hint="eastAsia" w:eastAsia="仿宋_GB2312"/>
                <w:color w:val="000000"/>
                <w:sz w:val="32"/>
                <w:szCs w:val="32"/>
              </w:rPr>
              <w:t xml:space="preserve">   广州市生态环境局</w:t>
            </w:r>
          </w:p>
          <w:p>
            <w:pPr>
              <w:spacing w:line="560" w:lineRule="exact"/>
              <w:ind w:right="1330"/>
              <w:jc w:val="right"/>
              <w:rPr>
                <w:rFonts w:hint="eastAsia" w:eastAsia="仿宋_GB2312"/>
                <w:color w:val="000000"/>
                <w:sz w:val="32"/>
                <w:szCs w:val="32"/>
              </w:rPr>
            </w:pPr>
            <w:r>
              <w:rPr>
                <w:rFonts w:hint="eastAsia" w:eastAsia="仿宋_GB2312"/>
                <w:color w:val="000000"/>
                <w:sz w:val="32"/>
                <w:szCs w:val="32"/>
              </w:rPr>
              <w:t>2022年3月8日</w:t>
            </w:r>
          </w:p>
          <w:p>
            <w:pPr>
              <w:spacing w:line="560" w:lineRule="exact"/>
              <w:ind w:right="1330"/>
              <w:jc w:val="right"/>
              <w:rPr>
                <w:rFonts w:hint="eastAsia" w:eastAsia="仿宋_GB2312"/>
                <w:color w:val="000000"/>
                <w:sz w:val="32"/>
                <w:szCs w:val="32"/>
              </w:rPr>
            </w:pPr>
          </w:p>
          <w:p>
            <w:pPr>
              <w:spacing w:line="560" w:lineRule="exact"/>
              <w:ind w:right="1330"/>
              <w:jc w:val="right"/>
              <w:rPr>
                <w:rFonts w:hint="eastAsia" w:eastAsia="仿宋_GB2312"/>
                <w:color w:val="000000"/>
                <w:sz w:val="32"/>
                <w:szCs w:val="32"/>
              </w:rPr>
            </w:pPr>
          </w:p>
          <w:p>
            <w:pPr>
              <w:spacing w:line="560" w:lineRule="exact"/>
              <w:ind w:right="1330"/>
              <w:jc w:val="right"/>
              <w:rPr>
                <w:rFonts w:hint="eastAsia" w:eastAsia="仿宋_GB2312"/>
                <w:color w:val="000000"/>
                <w:sz w:val="32"/>
                <w:szCs w:val="32"/>
              </w:rPr>
            </w:pPr>
          </w:p>
          <w:p>
            <w:pPr>
              <w:pStyle w:val="2"/>
              <w:spacing w:after="0" w:line="560" w:lineRule="exact"/>
              <w:jc w:val="left"/>
              <w:rPr>
                <w:rFonts w:eastAsia="仿宋_GB2312"/>
                <w:color w:val="000000"/>
                <w:sz w:val="32"/>
                <w:szCs w:val="32"/>
              </w:rPr>
            </w:pPr>
            <w:r>
              <w:rPr>
                <w:rFonts w:eastAsia="仿宋_GB2312"/>
                <w:color w:val="000000"/>
                <w:sz w:val="32"/>
                <w:szCs w:val="32"/>
              </w:rPr>
              <w:t>抄送：局</w:t>
            </w:r>
            <w:r>
              <w:rPr>
                <w:rFonts w:hint="eastAsia" w:eastAsia="仿宋_GB2312"/>
                <w:color w:val="000000"/>
                <w:sz w:val="32"/>
                <w:szCs w:val="32"/>
              </w:rPr>
              <w:t>监测处、应急处</w:t>
            </w:r>
            <w:r>
              <w:rPr>
                <w:rFonts w:eastAsia="仿宋_GB2312"/>
                <w:color w:val="000000"/>
                <w:sz w:val="32"/>
                <w:szCs w:val="32"/>
              </w:rPr>
              <w:t>，</w:t>
            </w:r>
            <w:r>
              <w:rPr>
                <w:rFonts w:hint="eastAsia" w:eastAsia="仿宋_GB2312"/>
                <w:color w:val="000000"/>
                <w:sz w:val="32"/>
                <w:szCs w:val="32"/>
              </w:rPr>
              <w:t>市生态环境局白云分</w:t>
            </w:r>
            <w:r>
              <w:rPr>
                <w:rFonts w:eastAsia="仿宋_GB2312"/>
                <w:color w:val="000000"/>
                <w:sz w:val="32"/>
                <w:szCs w:val="32"/>
              </w:rPr>
              <w:t>局</w:t>
            </w:r>
            <w:r>
              <w:rPr>
                <w:rFonts w:hint="eastAsia" w:eastAsia="仿宋_GB2312"/>
                <w:color w:val="000000"/>
                <w:sz w:val="32"/>
                <w:szCs w:val="32"/>
              </w:rPr>
              <w:t>，广州监测站</w:t>
            </w:r>
            <w:r>
              <w:rPr>
                <w:rFonts w:eastAsia="仿宋_GB2312"/>
                <w:color w:val="000000"/>
                <w:sz w:val="32"/>
                <w:szCs w:val="32"/>
              </w:rPr>
              <w:t>。</w:t>
            </w:r>
          </w:p>
          <w:p>
            <w:pPr>
              <w:pStyle w:val="5"/>
              <w:keepNext w:val="0"/>
              <w:keepLines w:val="0"/>
              <w:widowControl/>
              <w:suppressLineNumbers w:val="0"/>
              <w:ind w:left="0" w:right="0"/>
              <w:jc w:val="left"/>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F36F61"/>
    <w:rsid w:val="017C3964"/>
    <w:rsid w:val="033B6D65"/>
    <w:rsid w:val="069426AD"/>
    <w:rsid w:val="0B222BD7"/>
    <w:rsid w:val="0EE03393"/>
    <w:rsid w:val="10F36F61"/>
    <w:rsid w:val="25FA4432"/>
    <w:rsid w:val="2BC27109"/>
    <w:rsid w:val="437C7B4A"/>
    <w:rsid w:val="450917AA"/>
    <w:rsid w:val="55216B63"/>
    <w:rsid w:val="5E543F8E"/>
    <w:rsid w:val="60E17495"/>
    <w:rsid w:val="66F21D0B"/>
    <w:rsid w:val="73E1530F"/>
    <w:rsid w:val="77A147E9"/>
    <w:rsid w:val="7B3F4D70"/>
    <w:rsid w:val="7E634C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page number"/>
    <w:basedOn w:val="7"/>
    <w:qFormat/>
    <w:uiPriority w:val="0"/>
  </w:style>
  <w:style w:type="character" w:customStyle="1" w:styleId="10">
    <w:name w:val="col-title1"/>
    <w:basedOn w:val="7"/>
    <w:qFormat/>
    <w:uiPriority w:val="0"/>
    <w:rPr>
      <w:rFonts w:hint="eastAsia" w:ascii="宋体" w:hAnsi="宋体" w:eastAsia="宋体" w:cs="宋体"/>
      <w:b/>
      <w:bCs/>
      <w:color w:val="000000"/>
    </w:rPr>
  </w:style>
  <w:style w:type="character" w:customStyle="1" w:styleId="11">
    <w:name w:val="col-content1"/>
    <w:basedOn w:val="7"/>
    <w:qFormat/>
    <w:uiPriority w:val="0"/>
    <w:rPr>
      <w:rFonts w:hint="eastAsia" w:ascii="宋体" w:hAnsi="宋体" w:eastAsia="宋体" w:cs="宋体"/>
      <w:color w:val="00000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3572</Words>
  <Characters>4125</Characters>
  <Lines>0</Lines>
  <Paragraphs>0</Paragraphs>
  <TotalTime>3</TotalTime>
  <ScaleCrop>false</ScaleCrop>
  <LinksUpToDate>false</LinksUpToDate>
  <CharactersWithSpaces>4146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2020-07-27T06:18:00Z</dcterms:created>
  <dc:creator>陈璐</dc:creator>
  <cp:lastModifiedBy>陈璐</cp:lastModifiedBy>
  <dcterms:modified xsi:type="dcterms:W3CDTF">2022-03-11T09:13:27Z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5BF44EE2C2AA4D81902A8D2CCCE4F93D</vt:lpwstr>
  </property>
</Properties>
</file>