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adjustRightInd w:val="0"/>
        <w:snapToGrid w:val="0"/>
        <w:spacing w:line="590" w:lineRule="exact"/>
        <w:jc w:val="center"/>
        <w:rPr>
          <w:rFonts w:ascii="方正小标宋_GBK" w:eastAsia="方正小标宋_GBK" w:hAnsiTheme="majorEastAsia"/>
          <w:color w:val="auto"/>
          <w:sz w:val="36"/>
          <w:szCs w:val="36"/>
        </w:rPr>
      </w:pPr>
    </w:p>
    <w:p>
      <w:pPr>
        <w:adjustRightInd w:val="0"/>
        <w:snapToGrid w:val="0"/>
        <w:spacing w:line="590" w:lineRule="exact"/>
        <w:jc w:val="center"/>
        <w:rPr>
          <w:rFonts w:ascii="方正小标宋_GBK" w:eastAsia="方正小标宋_GBK" w:hAnsiTheme="majorEastAsia"/>
          <w:color w:val="auto"/>
          <w:sz w:val="36"/>
          <w:szCs w:val="36"/>
        </w:rPr>
      </w:pPr>
    </w:p>
    <w:p>
      <w:pPr>
        <w:adjustRightInd w:val="0"/>
        <w:snapToGrid w:val="0"/>
        <w:spacing w:line="590" w:lineRule="exact"/>
        <w:jc w:val="center"/>
        <w:rPr>
          <w:rFonts w:ascii="方正小标宋_GBK" w:eastAsia="方正小标宋_GBK" w:hAnsiTheme="majorEastAsia"/>
          <w:color w:val="auto"/>
          <w:sz w:val="36"/>
          <w:szCs w:val="36"/>
        </w:rPr>
      </w:pPr>
    </w:p>
    <w:p>
      <w:pPr>
        <w:adjustRightInd w:val="0"/>
        <w:snapToGrid w:val="0"/>
        <w:spacing w:line="590" w:lineRule="exact"/>
        <w:jc w:val="center"/>
        <w:rPr>
          <w:rFonts w:ascii="方正小标宋_GBK" w:eastAsia="方正小标宋_GBK" w:hAnsiTheme="majorEastAsia"/>
          <w:color w:val="auto"/>
          <w:sz w:val="36"/>
          <w:szCs w:val="36"/>
        </w:rPr>
      </w:pPr>
    </w:p>
    <w:p>
      <w:pPr>
        <w:adjustRightInd w:val="0"/>
        <w:snapToGrid w:val="0"/>
        <w:spacing w:line="590" w:lineRule="exact"/>
        <w:jc w:val="center"/>
        <w:rPr>
          <w:rFonts w:ascii="方正小标宋_GBK" w:eastAsia="方正小标宋_GBK" w:hAnsiTheme="majorEastAsia"/>
          <w:color w:val="auto"/>
          <w:sz w:val="52"/>
          <w:szCs w:val="52"/>
        </w:rPr>
      </w:pPr>
      <w:r>
        <w:rPr>
          <w:rFonts w:hint="eastAsia" w:ascii="方正小标宋_GBK" w:eastAsia="方正小标宋_GBK" w:hAnsiTheme="majorEastAsia"/>
          <w:color w:val="auto"/>
          <w:sz w:val="52"/>
          <w:szCs w:val="52"/>
        </w:rPr>
        <w:t>2023广州市城市声环境监测</w:t>
      </w:r>
    </w:p>
    <w:p>
      <w:pPr>
        <w:adjustRightInd w:val="0"/>
        <w:snapToGrid w:val="0"/>
        <w:spacing w:line="590" w:lineRule="exact"/>
        <w:jc w:val="center"/>
        <w:rPr>
          <w:rFonts w:ascii="方正小标宋_GBK" w:eastAsia="方正小标宋_GBK" w:hAnsiTheme="majorEastAsia"/>
          <w:color w:val="auto"/>
          <w:sz w:val="52"/>
          <w:szCs w:val="52"/>
        </w:rPr>
      </w:pPr>
      <w:r>
        <w:rPr>
          <w:rFonts w:hint="eastAsia" w:ascii="方正小标宋_GBK" w:eastAsia="方正小标宋_GBK" w:hAnsiTheme="majorEastAsia"/>
          <w:color w:val="auto"/>
          <w:sz w:val="52"/>
          <w:szCs w:val="52"/>
        </w:rPr>
        <w:t>点位普查调整工作项目（包组二）采购需求书</w:t>
      </w:r>
    </w:p>
    <w:p>
      <w:pPr>
        <w:adjustRightInd w:val="0"/>
        <w:snapToGrid w:val="0"/>
        <w:spacing w:line="590" w:lineRule="exact"/>
        <w:jc w:val="center"/>
        <w:rPr>
          <w:rFonts w:ascii="方正小标宋_GBK" w:eastAsia="方正小标宋_GBK" w:hAnsiTheme="majorEastAsia"/>
          <w:color w:val="auto"/>
          <w:sz w:val="36"/>
          <w:szCs w:val="36"/>
        </w:rPr>
      </w:pPr>
    </w:p>
    <w:p>
      <w:pPr>
        <w:adjustRightInd w:val="0"/>
        <w:snapToGrid w:val="0"/>
        <w:spacing w:line="590" w:lineRule="exact"/>
        <w:jc w:val="center"/>
        <w:rPr>
          <w:rFonts w:ascii="方正小标宋_GBK" w:eastAsia="方正小标宋_GBK" w:hAnsiTheme="majorEastAsia"/>
          <w:color w:val="auto"/>
          <w:sz w:val="36"/>
          <w:szCs w:val="36"/>
        </w:rPr>
      </w:pPr>
    </w:p>
    <w:p>
      <w:pPr>
        <w:adjustRightInd w:val="0"/>
        <w:snapToGrid w:val="0"/>
        <w:spacing w:line="590" w:lineRule="exact"/>
        <w:jc w:val="center"/>
        <w:rPr>
          <w:rFonts w:ascii="方正小标宋_GBK" w:eastAsia="方正小标宋_GBK" w:hAnsiTheme="majorEastAsia"/>
          <w:color w:val="auto"/>
          <w:sz w:val="36"/>
          <w:szCs w:val="36"/>
        </w:rPr>
      </w:pPr>
    </w:p>
    <w:p>
      <w:pPr>
        <w:adjustRightInd w:val="0"/>
        <w:snapToGrid w:val="0"/>
        <w:spacing w:line="590" w:lineRule="exact"/>
        <w:jc w:val="center"/>
        <w:rPr>
          <w:rFonts w:ascii="方正小标宋_GBK" w:eastAsia="方正小标宋_GBK" w:hAnsiTheme="majorEastAsia"/>
          <w:color w:val="auto"/>
          <w:sz w:val="36"/>
          <w:szCs w:val="36"/>
        </w:rPr>
      </w:pPr>
    </w:p>
    <w:p>
      <w:pPr>
        <w:adjustRightInd w:val="0"/>
        <w:snapToGrid w:val="0"/>
        <w:spacing w:line="590" w:lineRule="exact"/>
        <w:jc w:val="center"/>
        <w:rPr>
          <w:rFonts w:ascii="方正小标宋_GBK" w:eastAsia="方正小标宋_GBK" w:hAnsiTheme="majorEastAsia"/>
          <w:color w:val="auto"/>
          <w:sz w:val="36"/>
          <w:szCs w:val="36"/>
        </w:rPr>
      </w:pPr>
    </w:p>
    <w:p>
      <w:pPr>
        <w:adjustRightInd w:val="0"/>
        <w:snapToGrid w:val="0"/>
        <w:spacing w:line="590" w:lineRule="exact"/>
        <w:jc w:val="center"/>
        <w:rPr>
          <w:rFonts w:ascii="方正小标宋_GBK" w:eastAsia="方正小标宋_GBK" w:hAnsiTheme="majorEastAsia"/>
          <w:color w:val="auto"/>
          <w:sz w:val="36"/>
          <w:szCs w:val="36"/>
        </w:rPr>
      </w:pPr>
    </w:p>
    <w:p>
      <w:pPr>
        <w:adjustRightInd w:val="0"/>
        <w:snapToGrid w:val="0"/>
        <w:spacing w:line="590" w:lineRule="exact"/>
        <w:jc w:val="center"/>
        <w:rPr>
          <w:rFonts w:ascii="方正小标宋_GBK" w:eastAsia="方正小标宋_GBK" w:hAnsiTheme="majorEastAsia"/>
          <w:color w:val="auto"/>
          <w:sz w:val="36"/>
          <w:szCs w:val="36"/>
        </w:rPr>
      </w:pPr>
    </w:p>
    <w:p>
      <w:pPr>
        <w:adjustRightInd w:val="0"/>
        <w:snapToGrid w:val="0"/>
        <w:spacing w:line="590" w:lineRule="exact"/>
        <w:jc w:val="center"/>
        <w:rPr>
          <w:rFonts w:ascii="方正小标宋_GBK" w:eastAsia="方正小标宋_GBK" w:hAnsiTheme="majorEastAsia"/>
          <w:color w:val="auto"/>
          <w:sz w:val="36"/>
          <w:szCs w:val="36"/>
        </w:rPr>
      </w:pPr>
    </w:p>
    <w:p>
      <w:pPr>
        <w:adjustRightInd w:val="0"/>
        <w:snapToGrid w:val="0"/>
        <w:spacing w:line="590" w:lineRule="exact"/>
        <w:jc w:val="center"/>
        <w:rPr>
          <w:rFonts w:ascii="方正小标宋_GBK" w:eastAsia="方正小标宋_GBK" w:hAnsiTheme="majorEastAsia"/>
          <w:color w:val="auto"/>
          <w:sz w:val="36"/>
          <w:szCs w:val="36"/>
        </w:rPr>
      </w:pPr>
    </w:p>
    <w:p>
      <w:pPr>
        <w:adjustRightInd w:val="0"/>
        <w:snapToGrid w:val="0"/>
        <w:spacing w:line="590" w:lineRule="exact"/>
        <w:jc w:val="center"/>
        <w:rPr>
          <w:rFonts w:ascii="方正小标宋_GBK" w:eastAsia="方正小标宋_GBK" w:hAnsiTheme="majorEastAsia"/>
          <w:color w:val="auto"/>
          <w:sz w:val="36"/>
          <w:szCs w:val="36"/>
        </w:rPr>
      </w:pPr>
    </w:p>
    <w:p>
      <w:pPr>
        <w:adjustRightInd w:val="0"/>
        <w:snapToGrid w:val="0"/>
        <w:spacing w:line="590" w:lineRule="exact"/>
        <w:jc w:val="center"/>
        <w:rPr>
          <w:rFonts w:ascii="方正小标宋_GBK" w:eastAsia="方正小标宋_GBK" w:hAnsiTheme="majorEastAsia"/>
          <w:color w:val="auto"/>
          <w:sz w:val="36"/>
          <w:szCs w:val="36"/>
        </w:rPr>
      </w:pPr>
    </w:p>
    <w:p>
      <w:pPr>
        <w:adjustRightInd w:val="0"/>
        <w:snapToGrid w:val="0"/>
        <w:spacing w:line="590" w:lineRule="exact"/>
        <w:jc w:val="center"/>
        <w:rPr>
          <w:rFonts w:ascii="方正小标宋_GBK" w:eastAsia="方正小标宋_GBK" w:hAnsiTheme="majorEastAsia"/>
          <w:color w:val="auto"/>
          <w:sz w:val="36"/>
          <w:szCs w:val="36"/>
        </w:rPr>
      </w:pPr>
    </w:p>
    <w:p>
      <w:pPr>
        <w:adjustRightInd w:val="0"/>
        <w:snapToGrid w:val="0"/>
        <w:spacing w:line="590" w:lineRule="exact"/>
        <w:jc w:val="center"/>
        <w:rPr>
          <w:rFonts w:ascii="方正小标宋_GBK" w:eastAsia="方正小标宋_GBK" w:hAnsiTheme="majorEastAsia"/>
          <w:color w:val="auto"/>
          <w:sz w:val="36"/>
          <w:szCs w:val="36"/>
        </w:rPr>
      </w:pPr>
    </w:p>
    <w:p>
      <w:pPr>
        <w:adjustRightInd w:val="0"/>
        <w:snapToGrid w:val="0"/>
        <w:spacing w:line="590" w:lineRule="exact"/>
        <w:jc w:val="center"/>
        <w:rPr>
          <w:rFonts w:ascii="方正小标宋_GBK" w:eastAsia="方正小标宋_GBK" w:hAnsiTheme="majorEastAsia"/>
          <w:color w:val="auto"/>
          <w:sz w:val="36"/>
          <w:szCs w:val="36"/>
        </w:rPr>
      </w:pPr>
      <w:r>
        <w:rPr>
          <w:rFonts w:hint="eastAsia" w:ascii="方正小标宋_GBK" w:eastAsia="方正小标宋_GBK" w:hAnsiTheme="majorEastAsia"/>
          <w:color w:val="auto"/>
          <w:sz w:val="36"/>
          <w:szCs w:val="36"/>
        </w:rPr>
        <w:t>广东省广州生态环境监测中心站</w:t>
      </w:r>
    </w:p>
    <w:p>
      <w:pPr>
        <w:adjustRightInd w:val="0"/>
        <w:snapToGrid w:val="0"/>
        <w:spacing w:line="590" w:lineRule="exact"/>
        <w:jc w:val="center"/>
        <w:rPr>
          <w:rFonts w:ascii="方正小标宋_GBK" w:eastAsia="方正小标宋_GBK" w:hAnsiTheme="majorEastAsia"/>
          <w:color w:val="auto"/>
          <w:sz w:val="36"/>
          <w:szCs w:val="36"/>
        </w:rPr>
      </w:pPr>
    </w:p>
    <w:p>
      <w:pPr>
        <w:adjustRightInd w:val="0"/>
        <w:snapToGrid w:val="0"/>
        <w:spacing w:line="590" w:lineRule="exact"/>
        <w:jc w:val="center"/>
        <w:rPr>
          <w:rFonts w:ascii="方正小标宋_GBK" w:eastAsia="方正小标宋_GBK" w:hAnsiTheme="majorEastAsia"/>
          <w:color w:val="auto"/>
          <w:sz w:val="36"/>
          <w:szCs w:val="36"/>
        </w:rPr>
      </w:pPr>
    </w:p>
    <w:p>
      <w:pPr>
        <w:adjustRightInd w:val="0"/>
        <w:snapToGrid w:val="0"/>
        <w:spacing w:line="590" w:lineRule="exact"/>
        <w:jc w:val="center"/>
        <w:rPr>
          <w:rFonts w:ascii="方正小标宋_GBK" w:eastAsia="方正小标宋_GBK" w:hAnsiTheme="majorEastAsia"/>
          <w:color w:val="auto"/>
          <w:sz w:val="36"/>
          <w:szCs w:val="36"/>
        </w:rPr>
      </w:pPr>
    </w:p>
    <w:p>
      <w:pPr>
        <w:adjustRightInd w:val="0"/>
        <w:snapToGrid w:val="0"/>
        <w:spacing w:line="590" w:lineRule="exact"/>
        <w:ind w:firstLine="560" w:firstLineChars="200"/>
        <w:rPr>
          <w:rFonts w:ascii="仿宋_GB2312" w:hAnsi="仿宋" w:eastAsia="仿宋_GB2312"/>
          <w:b/>
          <w:color w:val="auto"/>
          <w:sz w:val="28"/>
          <w:szCs w:val="32"/>
        </w:rPr>
      </w:pPr>
      <w:r>
        <w:rPr>
          <w:rFonts w:hint="eastAsia" w:ascii="仿宋_GB2312" w:hAnsi="仿宋" w:eastAsia="仿宋_GB2312"/>
          <w:b/>
          <w:color w:val="auto"/>
          <w:sz w:val="28"/>
          <w:szCs w:val="32"/>
        </w:rPr>
        <w:t>2023广州市城市声环境监测点位普查调整工作项目（包组二）总预算约为24万元。根据《广东省生态环境监测“十四五”规划》（粤环办〔2022〕2号）、《“十四五”噪声污染防治行动计划》、《“十四五”生态环境监测规划》、《环境噪声监测技术规范 城市声环境常规监测》（HJ640-2012）和《2023年广州市城市区域声环境和道路交通声环境监测点位调整项目工作方案》的要求，制定本需求。</w:t>
      </w:r>
    </w:p>
    <w:p>
      <w:pPr>
        <w:adjustRightInd w:val="0"/>
        <w:snapToGrid w:val="0"/>
        <w:spacing w:line="590" w:lineRule="exact"/>
        <w:rPr>
          <w:rFonts w:ascii="宋体" w:hAnsi="宋体" w:eastAsia="宋体"/>
          <w:b/>
          <w:color w:val="auto"/>
          <w:sz w:val="32"/>
        </w:rPr>
      </w:pPr>
      <w:r>
        <w:rPr>
          <w:rFonts w:hint="eastAsia" w:ascii="宋体" w:hAnsi="宋体" w:eastAsia="宋体"/>
          <w:b/>
          <w:color w:val="auto"/>
          <w:sz w:val="32"/>
        </w:rPr>
        <w:t>一</w:t>
      </w:r>
      <w:r>
        <w:rPr>
          <w:rFonts w:ascii="宋体" w:hAnsi="宋体" w:eastAsia="宋体"/>
          <w:b/>
          <w:color w:val="auto"/>
          <w:sz w:val="32"/>
        </w:rPr>
        <w:t>、</w:t>
      </w:r>
      <w:r>
        <w:rPr>
          <w:rFonts w:hint="eastAsia" w:ascii="宋体" w:hAnsi="宋体" w:eastAsia="宋体"/>
          <w:b/>
          <w:color w:val="auto"/>
          <w:sz w:val="32"/>
        </w:rPr>
        <w:t>项目基本情况</w:t>
      </w:r>
    </w:p>
    <w:p>
      <w:pPr>
        <w:adjustRightInd w:val="0"/>
        <w:snapToGrid w:val="0"/>
        <w:spacing w:line="590" w:lineRule="exact"/>
        <w:ind w:firstLine="560" w:firstLineChars="200"/>
        <w:rPr>
          <w:rFonts w:ascii="仿宋_GB2312" w:hAnsi="仿宋" w:eastAsia="仿宋_GB2312"/>
          <w:b/>
          <w:color w:val="auto"/>
          <w:sz w:val="28"/>
          <w:szCs w:val="32"/>
        </w:rPr>
      </w:pPr>
      <w:r>
        <w:rPr>
          <w:rFonts w:hint="eastAsia" w:ascii="仿宋_GB2312" w:hAnsi="仿宋" w:eastAsia="仿宋_GB2312"/>
          <w:b/>
          <w:color w:val="auto"/>
          <w:sz w:val="28"/>
          <w:szCs w:val="32"/>
        </w:rPr>
        <w:t>（一）项目概况</w:t>
      </w:r>
    </w:p>
    <w:p>
      <w:pPr>
        <w:adjustRightInd w:val="0"/>
        <w:snapToGrid w:val="0"/>
        <w:spacing w:line="590" w:lineRule="exact"/>
        <w:ind w:firstLine="560" w:firstLineChars="200"/>
        <w:rPr>
          <w:rFonts w:ascii="仿宋_GB2312" w:hAnsi="仿宋" w:eastAsia="仿宋_GB2312"/>
          <w:color w:val="auto"/>
          <w:sz w:val="28"/>
          <w:szCs w:val="32"/>
        </w:rPr>
      </w:pPr>
      <w:r>
        <w:rPr>
          <w:rFonts w:hint="eastAsia" w:ascii="仿宋_GB2312" w:hAnsi="仿宋" w:eastAsia="仿宋_GB2312"/>
          <w:color w:val="auto"/>
          <w:sz w:val="28"/>
          <w:szCs w:val="32"/>
        </w:rPr>
        <w:t>本项目总预算约为24万元，根据《“十四五”噪声污染防治行动计划》、《广东省生态环境监测“十四五”规划》（粤环办〔2022〕2号）、《环境噪声监测技术规范 城市声环境常规监测》（HJ640-2012）和《2023年广州市城市区域声环境和道路交通声环境监测点位调整项目工作方案》的要求，制定本需求。</w:t>
      </w:r>
      <w:r>
        <w:rPr>
          <w:rFonts w:ascii="仿宋_GB2312" w:hAnsi="仿宋" w:eastAsia="仿宋_GB2312"/>
          <w:color w:val="auto"/>
          <w:sz w:val="28"/>
          <w:szCs w:val="32"/>
        </w:rPr>
        <w:t xml:space="preserve"> </w:t>
      </w:r>
    </w:p>
    <w:p>
      <w:pPr>
        <w:adjustRightInd w:val="0"/>
        <w:snapToGrid w:val="0"/>
        <w:spacing w:line="590" w:lineRule="exact"/>
        <w:ind w:firstLine="560" w:firstLineChars="200"/>
        <w:rPr>
          <w:rFonts w:ascii="仿宋_GB2312" w:hAnsi="仿宋" w:eastAsia="仿宋_GB2312"/>
          <w:color w:val="auto"/>
          <w:sz w:val="28"/>
          <w:szCs w:val="32"/>
        </w:rPr>
      </w:pPr>
      <w:r>
        <w:rPr>
          <w:rFonts w:hint="eastAsia" w:ascii="仿宋_GB2312" w:hAnsi="仿宋" w:eastAsia="仿宋_GB2312"/>
          <w:b/>
          <w:color w:val="auto"/>
          <w:sz w:val="28"/>
          <w:szCs w:val="32"/>
        </w:rPr>
        <w:t>（二）项目内容</w:t>
      </w:r>
      <w:bookmarkStart w:id="0" w:name="_GoBack"/>
      <w:bookmarkEnd w:id="0"/>
    </w:p>
    <w:p>
      <w:pPr>
        <w:adjustRightInd w:val="0"/>
        <w:snapToGrid w:val="0"/>
        <w:spacing w:line="590" w:lineRule="exact"/>
        <w:ind w:firstLine="560" w:firstLineChars="200"/>
        <w:jc w:val="left"/>
        <w:rPr>
          <w:rFonts w:ascii="仿宋_GB2312" w:hAnsi="仿宋" w:eastAsia="仿宋_GB2312"/>
          <w:color w:val="auto"/>
          <w:sz w:val="28"/>
          <w:szCs w:val="32"/>
        </w:rPr>
      </w:pPr>
      <w:r>
        <w:rPr>
          <w:rFonts w:ascii="仿宋_GB2312" w:hAnsi="仿宋" w:eastAsia="仿宋_GB2312"/>
          <w:color w:val="auto"/>
          <w:sz w:val="28"/>
          <w:szCs w:val="32"/>
        </w:rPr>
        <w:t>1</w:t>
      </w:r>
      <w:r>
        <w:rPr>
          <w:rFonts w:hint="eastAsia" w:ascii="仿宋_GB2312" w:hAnsi="仿宋" w:eastAsia="仿宋_GB2312"/>
          <w:color w:val="auto"/>
          <w:sz w:val="28"/>
          <w:szCs w:val="32"/>
        </w:rPr>
        <w:t>、对广州市内20个重点网格点位开展摸查溯源与声纹识别研究工作，完成其中</w:t>
      </w:r>
      <w:r>
        <w:rPr>
          <w:rFonts w:hint="eastAsia" w:ascii="仿宋_GB2312" w:hAnsi="仿宋" w:eastAsia="仿宋_GB2312"/>
          <w:color w:val="auto"/>
          <w:sz w:val="28"/>
          <w:szCs w:val="32"/>
        </w:rPr>
        <w:t>15个点位</w:t>
      </w:r>
      <w:r>
        <w:rPr>
          <w:rFonts w:hint="eastAsia" w:ascii="仿宋_GB2312" w:hAnsi="仿宋" w:eastAsia="仿宋_GB2312"/>
          <w:color w:val="auto"/>
          <w:sz w:val="28"/>
          <w:szCs w:val="32"/>
        </w:rPr>
        <w:t>的</w:t>
      </w:r>
      <w:r>
        <w:rPr>
          <w:rFonts w:ascii="仿宋_GB2312" w:hAnsi="仿宋" w:eastAsia="仿宋_GB2312"/>
          <w:color w:val="auto"/>
          <w:sz w:val="28"/>
          <w:szCs w:val="32"/>
        </w:rPr>
        <w:t>5</w:t>
      </w:r>
      <w:r>
        <w:rPr>
          <w:rFonts w:hint="eastAsia" w:ascii="仿宋" w:hAnsi="仿宋" w:eastAsia="仿宋"/>
          <w:color w:val="auto"/>
          <w:sz w:val="28"/>
          <w:szCs w:val="32"/>
        </w:rPr>
        <w:t>×</w:t>
      </w:r>
      <w:r>
        <w:rPr>
          <w:rFonts w:hint="eastAsia" w:ascii="仿宋_GB2312" w:hAnsi="仿宋" w:eastAsia="仿宋_GB2312"/>
          <w:color w:val="auto"/>
          <w:sz w:val="28"/>
          <w:szCs w:val="32"/>
        </w:rPr>
        <w:t>24小时的自动监测、噪声超标录音，提交监测溯源分析报告；</w:t>
      </w:r>
    </w:p>
    <w:p>
      <w:pPr>
        <w:adjustRightInd w:val="0"/>
        <w:snapToGrid w:val="0"/>
        <w:spacing w:line="590" w:lineRule="exact"/>
        <w:ind w:firstLine="560" w:firstLineChars="200"/>
        <w:jc w:val="left"/>
        <w:rPr>
          <w:rFonts w:ascii="仿宋_GB2312" w:hAnsi="仿宋" w:eastAsia="仿宋_GB2312"/>
          <w:color w:val="auto"/>
          <w:sz w:val="28"/>
          <w:szCs w:val="32"/>
        </w:rPr>
      </w:pPr>
      <w:r>
        <w:rPr>
          <w:rFonts w:hint="eastAsia" w:ascii="仿宋_GB2312" w:hAnsi="仿宋" w:eastAsia="仿宋_GB2312"/>
          <w:color w:val="auto"/>
          <w:sz w:val="28"/>
          <w:szCs w:val="32"/>
        </w:rPr>
        <w:t>2、开展20个重点网格点位</w:t>
      </w:r>
      <w:r>
        <w:rPr>
          <w:rFonts w:ascii="仿宋_GB2312" w:hAnsi="仿宋" w:eastAsia="仿宋_GB2312"/>
          <w:color w:val="auto"/>
          <w:sz w:val="28"/>
          <w:szCs w:val="32"/>
        </w:rPr>
        <w:t>5</w:t>
      </w:r>
      <w:r>
        <w:rPr>
          <w:rFonts w:hint="eastAsia" w:ascii="仿宋" w:hAnsi="仿宋" w:eastAsia="仿宋"/>
          <w:color w:val="auto"/>
          <w:sz w:val="28"/>
          <w:szCs w:val="32"/>
        </w:rPr>
        <w:t>×</w:t>
      </w:r>
      <w:r>
        <w:rPr>
          <w:rFonts w:hint="eastAsia" w:ascii="仿宋_GB2312" w:hAnsi="仿宋" w:eastAsia="仿宋_GB2312"/>
          <w:color w:val="auto"/>
          <w:sz w:val="28"/>
          <w:szCs w:val="32"/>
        </w:rPr>
        <w:t>24小时监测的噪声超标录音声纹识别、至少3个重点网格点位的2</w:t>
      </w:r>
      <w:r>
        <w:rPr>
          <w:rFonts w:hint="eastAsia" w:ascii="仿宋" w:hAnsi="仿宋" w:eastAsia="仿宋"/>
          <w:color w:val="auto"/>
          <w:sz w:val="28"/>
          <w:szCs w:val="32"/>
        </w:rPr>
        <w:t>×</w:t>
      </w:r>
      <w:r>
        <w:rPr>
          <w:rFonts w:ascii="仿宋_GB2312" w:hAnsi="仿宋" w:eastAsia="仿宋_GB2312"/>
          <w:color w:val="auto"/>
          <w:sz w:val="28"/>
          <w:szCs w:val="32"/>
        </w:rPr>
        <w:t>24</w:t>
      </w:r>
      <w:r>
        <w:rPr>
          <w:rFonts w:hint="eastAsia" w:ascii="仿宋_GB2312" w:hAnsi="仿宋" w:eastAsia="仿宋_GB2312"/>
          <w:color w:val="auto"/>
          <w:sz w:val="28"/>
          <w:szCs w:val="32"/>
        </w:rPr>
        <w:t>小时的声纹识别，提交声纹识别分析报告。</w:t>
      </w:r>
    </w:p>
    <w:p>
      <w:pPr>
        <w:adjustRightInd w:val="0"/>
        <w:snapToGrid w:val="0"/>
        <w:spacing w:line="590" w:lineRule="exact"/>
        <w:ind w:firstLine="560" w:firstLineChars="200"/>
        <w:rPr>
          <w:rFonts w:ascii="仿宋_GB2312" w:hAnsi="仿宋" w:eastAsia="仿宋_GB2312"/>
          <w:b/>
          <w:color w:val="auto"/>
          <w:sz w:val="28"/>
          <w:szCs w:val="32"/>
        </w:rPr>
      </w:pPr>
      <w:r>
        <w:rPr>
          <w:rFonts w:hint="eastAsia" w:ascii="仿宋_GB2312" w:hAnsi="仿宋" w:eastAsia="仿宋_GB2312"/>
          <w:b/>
          <w:color w:val="auto"/>
          <w:sz w:val="28"/>
          <w:szCs w:val="32"/>
        </w:rPr>
        <w:t>（三）供应商资质</w:t>
      </w:r>
    </w:p>
    <w:p>
      <w:pPr>
        <w:adjustRightInd w:val="0"/>
        <w:snapToGrid w:val="0"/>
        <w:spacing w:line="590" w:lineRule="exact"/>
        <w:ind w:firstLine="700" w:firstLineChars="250"/>
        <w:rPr>
          <w:rFonts w:ascii="仿宋_GB2312" w:hAnsi="仿宋" w:eastAsia="仿宋_GB2312"/>
          <w:color w:val="auto"/>
          <w:sz w:val="28"/>
          <w:szCs w:val="32"/>
        </w:rPr>
      </w:pPr>
      <w:r>
        <w:rPr>
          <w:rFonts w:hint="eastAsia" w:ascii="仿宋_GB2312" w:hAnsi="仿宋" w:eastAsia="仿宋_GB2312"/>
          <w:color w:val="auto"/>
          <w:sz w:val="28"/>
          <w:szCs w:val="32"/>
        </w:rPr>
        <w:t>1、供应商具备环境噪声自动监测设备自主研发生产及采样能力，且具备开展噪声声纹识别的相关软硬件、人员、设备、经验等能力；</w:t>
      </w:r>
    </w:p>
    <w:p>
      <w:pPr>
        <w:adjustRightInd w:val="0"/>
        <w:snapToGrid w:val="0"/>
        <w:spacing w:line="590" w:lineRule="exact"/>
        <w:ind w:firstLine="700" w:firstLineChars="250"/>
        <w:rPr>
          <w:rFonts w:ascii="仿宋_GB2312" w:hAnsi="仿宋" w:eastAsia="仿宋_GB2312"/>
          <w:color w:val="auto"/>
          <w:sz w:val="28"/>
          <w:szCs w:val="32"/>
        </w:rPr>
      </w:pPr>
      <w:r>
        <w:rPr>
          <w:rFonts w:hint="eastAsia" w:ascii="仿宋_GB2312" w:hAnsi="仿宋" w:eastAsia="仿宋_GB2312"/>
          <w:color w:val="auto"/>
          <w:sz w:val="28"/>
          <w:szCs w:val="32"/>
        </w:rPr>
        <w:t>2、自主研发的自动监测设备产品具有中国环境保护产品认证证书、相关专利和软件著作权及相关荣誉认证；</w:t>
      </w:r>
    </w:p>
    <w:p>
      <w:pPr>
        <w:ind w:firstLine="700" w:firstLineChars="250"/>
        <w:rPr>
          <w:rFonts w:ascii="仿宋_GB2312" w:hAnsi="仿宋" w:eastAsia="仿宋_GB2312"/>
          <w:color w:val="auto"/>
          <w:sz w:val="28"/>
          <w:szCs w:val="32"/>
        </w:rPr>
      </w:pPr>
      <w:r>
        <w:rPr>
          <w:rFonts w:hint="eastAsia" w:ascii="仿宋_GB2312" w:hAnsi="仿宋" w:eastAsia="仿宋_GB2312"/>
          <w:color w:val="auto"/>
          <w:sz w:val="28"/>
          <w:szCs w:val="32"/>
        </w:rPr>
        <w:t>3、具备自主研发的声源智能识别产品，</w:t>
      </w:r>
      <w:r>
        <w:rPr>
          <w:rFonts w:hint="eastAsia" w:eastAsia="仿宋_GB2312"/>
          <w:color w:val="auto"/>
          <w:sz w:val="28"/>
          <w:szCs w:val="32"/>
        </w:rPr>
        <w:t>并已</w:t>
      </w:r>
      <w:r>
        <w:rPr>
          <w:rFonts w:hint="eastAsia" w:ascii="仿宋_GB2312" w:hAnsi="仿宋" w:eastAsia="仿宋_GB2312"/>
          <w:color w:val="auto"/>
          <w:sz w:val="28"/>
          <w:szCs w:val="32"/>
        </w:rPr>
        <w:t>建立自主的环境声源数据库及自动识别典型声源的AI模型；</w:t>
      </w:r>
    </w:p>
    <w:p>
      <w:pPr>
        <w:ind w:firstLine="700" w:firstLineChars="250"/>
        <w:rPr>
          <w:rFonts w:eastAsia="仿宋_GB2312"/>
          <w:color w:val="auto"/>
          <w:sz w:val="28"/>
          <w:szCs w:val="32"/>
        </w:rPr>
      </w:pPr>
      <w:r>
        <w:rPr>
          <w:rFonts w:hint="eastAsia" w:ascii="仿宋_GB2312" w:hAnsi="仿宋" w:eastAsia="仿宋_GB2312"/>
          <w:color w:val="auto"/>
          <w:sz w:val="28"/>
          <w:szCs w:val="32"/>
        </w:rPr>
        <w:t>4、具备成熟的自动监测站点建设及运维经验，在同级别城市开展过相关的噪声溯源声纹识别分析研究工作</w:t>
      </w:r>
      <w:r>
        <w:rPr>
          <w:rFonts w:hint="eastAsia" w:eastAsia="仿宋_GB2312"/>
          <w:color w:val="auto"/>
          <w:sz w:val="28"/>
          <w:szCs w:val="32"/>
        </w:rPr>
        <w:t>。</w:t>
      </w:r>
    </w:p>
    <w:p>
      <w:pPr>
        <w:adjustRightInd w:val="0"/>
        <w:snapToGrid w:val="0"/>
        <w:spacing w:line="590" w:lineRule="exact"/>
        <w:ind w:firstLine="560" w:firstLineChars="200"/>
        <w:rPr>
          <w:rFonts w:ascii="仿宋_GB2312" w:hAnsi="仿宋" w:eastAsia="仿宋_GB2312"/>
          <w:b/>
          <w:color w:val="auto"/>
          <w:sz w:val="28"/>
          <w:szCs w:val="32"/>
        </w:rPr>
      </w:pPr>
    </w:p>
    <w:p>
      <w:pPr>
        <w:adjustRightInd w:val="0"/>
        <w:snapToGrid w:val="0"/>
        <w:spacing w:line="590" w:lineRule="exact"/>
        <w:rPr>
          <w:rFonts w:ascii="宋体" w:hAnsi="宋体" w:eastAsia="宋体"/>
          <w:b/>
          <w:color w:val="auto"/>
          <w:sz w:val="32"/>
        </w:rPr>
      </w:pPr>
      <w:r>
        <w:rPr>
          <w:rFonts w:hint="eastAsia" w:ascii="宋体" w:hAnsi="宋体" w:eastAsia="宋体"/>
          <w:b/>
          <w:color w:val="auto"/>
          <w:sz w:val="32"/>
        </w:rPr>
        <w:t>二、技术要求</w:t>
      </w:r>
    </w:p>
    <w:p>
      <w:pPr>
        <w:adjustRightInd w:val="0"/>
        <w:snapToGrid w:val="0"/>
        <w:spacing w:line="590" w:lineRule="exact"/>
        <w:ind w:firstLine="560" w:firstLineChars="200"/>
        <w:rPr>
          <w:rFonts w:ascii="仿宋_GB2312" w:hAnsi="仿宋" w:eastAsia="仿宋_GB2312"/>
          <w:b/>
          <w:color w:val="auto"/>
          <w:sz w:val="28"/>
          <w:szCs w:val="32"/>
        </w:rPr>
      </w:pPr>
      <w:r>
        <w:rPr>
          <w:rFonts w:hint="eastAsia" w:ascii="仿宋_GB2312" w:hAnsi="仿宋" w:eastAsia="仿宋_GB2312"/>
          <w:b/>
          <w:color w:val="auto"/>
          <w:sz w:val="28"/>
          <w:szCs w:val="32"/>
        </w:rPr>
        <w:t>（一）服务内容</w:t>
      </w:r>
    </w:p>
    <w:p>
      <w:pPr>
        <w:adjustRightInd w:val="0"/>
        <w:snapToGrid w:val="0"/>
        <w:spacing w:line="590" w:lineRule="exact"/>
        <w:ind w:firstLine="560" w:firstLineChars="200"/>
        <w:rPr>
          <w:rFonts w:ascii="仿宋_GB2312" w:hAnsi="仿宋" w:eastAsia="仿宋_GB2312"/>
          <w:color w:val="auto"/>
          <w:sz w:val="28"/>
          <w:szCs w:val="32"/>
        </w:rPr>
      </w:pPr>
      <w:r>
        <w:rPr>
          <w:rFonts w:ascii="仿宋_GB2312" w:hAnsi="仿宋" w:eastAsia="仿宋_GB2312"/>
          <w:color w:val="auto"/>
          <w:sz w:val="28"/>
          <w:szCs w:val="32"/>
        </w:rPr>
        <w:t>1、</w:t>
      </w:r>
      <w:r>
        <w:rPr>
          <w:rFonts w:hint="eastAsia" w:ascii="仿宋_GB2312" w:hAnsi="仿宋" w:eastAsia="仿宋_GB2312"/>
          <w:color w:val="auto"/>
          <w:sz w:val="28"/>
          <w:szCs w:val="32"/>
        </w:rPr>
        <w:t>对广州市内20个重点网格噪声点位开展摸查溯源与声纹识别研究工作，其中</w:t>
      </w:r>
      <w:r>
        <w:rPr>
          <w:rFonts w:hint="eastAsia" w:ascii="仿宋_GB2312" w:hAnsi="仿宋" w:eastAsia="仿宋_GB2312"/>
          <w:color w:val="auto"/>
          <w:sz w:val="28"/>
          <w:szCs w:val="32"/>
        </w:rPr>
        <w:t>15个点位</w:t>
      </w:r>
      <w:r>
        <w:rPr>
          <w:rFonts w:hint="eastAsia" w:ascii="仿宋_GB2312" w:hAnsi="仿宋" w:eastAsia="仿宋_GB2312"/>
          <w:color w:val="auto"/>
          <w:sz w:val="28"/>
          <w:szCs w:val="32"/>
        </w:rPr>
        <w:t>进行24小时自动监测</w:t>
      </w:r>
      <w:r>
        <w:rPr>
          <w:rFonts w:hint="eastAsia" w:eastAsia="仿宋_GB2312"/>
          <w:color w:val="auto"/>
          <w:sz w:val="28"/>
          <w:szCs w:val="32"/>
        </w:rPr>
        <w:t>及噪声超标录音</w:t>
      </w:r>
      <w:r>
        <w:rPr>
          <w:rFonts w:hint="eastAsia" w:ascii="仿宋_GB2312" w:hAnsi="仿宋" w:eastAsia="仿宋_GB2312"/>
          <w:color w:val="auto"/>
          <w:sz w:val="28"/>
          <w:szCs w:val="32"/>
        </w:rPr>
        <w:t>，每个点位连续监测5天。在指定时间完成环境噪声自动采样</w:t>
      </w:r>
      <w:r>
        <w:rPr>
          <w:rFonts w:hint="eastAsia" w:eastAsia="仿宋_GB2312"/>
          <w:color w:val="auto"/>
          <w:sz w:val="28"/>
          <w:szCs w:val="32"/>
        </w:rPr>
        <w:t>及超标录音</w:t>
      </w:r>
      <w:r>
        <w:rPr>
          <w:rFonts w:hint="eastAsia" w:ascii="仿宋_GB2312" w:hAnsi="仿宋" w:eastAsia="仿宋_GB2312"/>
          <w:color w:val="auto"/>
          <w:sz w:val="28"/>
          <w:szCs w:val="32"/>
        </w:rPr>
        <w:t>，提交监测溯源分析报告，协助开展后期数据处理。</w:t>
      </w:r>
    </w:p>
    <w:p>
      <w:pPr>
        <w:adjustRightInd w:val="0"/>
        <w:snapToGrid w:val="0"/>
        <w:spacing w:line="590" w:lineRule="exact"/>
        <w:ind w:firstLine="560" w:firstLineChars="200"/>
        <w:rPr>
          <w:rFonts w:ascii="仿宋_GB2312" w:hAnsi="仿宋" w:eastAsia="仿宋_GB2312"/>
          <w:color w:val="auto"/>
          <w:sz w:val="28"/>
          <w:szCs w:val="32"/>
        </w:rPr>
      </w:pPr>
      <w:r>
        <w:rPr>
          <w:rFonts w:hint="eastAsia" w:ascii="仿宋_GB2312" w:hAnsi="仿宋" w:eastAsia="仿宋_GB2312"/>
          <w:color w:val="auto"/>
          <w:sz w:val="28"/>
          <w:szCs w:val="32"/>
        </w:rPr>
        <w:t>2、开展</w:t>
      </w:r>
      <w:r>
        <w:rPr>
          <w:rFonts w:ascii="仿宋_GB2312" w:hAnsi="仿宋" w:eastAsia="仿宋_GB2312"/>
          <w:color w:val="auto"/>
          <w:sz w:val="28"/>
          <w:szCs w:val="32"/>
        </w:rPr>
        <w:t>20</w:t>
      </w:r>
      <w:r>
        <w:rPr>
          <w:rFonts w:hint="eastAsia" w:ascii="仿宋_GB2312" w:hAnsi="仿宋" w:eastAsia="仿宋_GB2312"/>
          <w:color w:val="auto"/>
          <w:sz w:val="28"/>
          <w:szCs w:val="32"/>
        </w:rPr>
        <w:t>个点位</w:t>
      </w:r>
      <w:r>
        <w:rPr>
          <w:rFonts w:ascii="仿宋_GB2312" w:hAnsi="仿宋" w:eastAsia="仿宋_GB2312"/>
          <w:color w:val="auto"/>
          <w:sz w:val="28"/>
          <w:szCs w:val="32"/>
        </w:rPr>
        <w:t>5</w:t>
      </w:r>
      <w:r>
        <w:rPr>
          <w:rFonts w:hint="eastAsia" w:ascii="仿宋" w:hAnsi="仿宋" w:eastAsia="仿宋"/>
          <w:color w:val="auto"/>
          <w:sz w:val="28"/>
          <w:szCs w:val="32"/>
        </w:rPr>
        <w:t>×</w:t>
      </w:r>
      <w:r>
        <w:rPr>
          <w:rFonts w:hint="eastAsia" w:ascii="仿宋_GB2312" w:hAnsi="仿宋" w:eastAsia="仿宋_GB2312"/>
          <w:color w:val="auto"/>
          <w:sz w:val="28"/>
          <w:szCs w:val="32"/>
        </w:rPr>
        <w:t>24小时监测的噪声超标录音声纹识别、至少3个点位的2</w:t>
      </w:r>
      <w:r>
        <w:rPr>
          <w:rFonts w:hint="eastAsia" w:ascii="仿宋" w:hAnsi="仿宋" w:eastAsia="仿宋"/>
          <w:color w:val="auto"/>
          <w:sz w:val="28"/>
          <w:szCs w:val="32"/>
        </w:rPr>
        <w:t>×</w:t>
      </w:r>
      <w:r>
        <w:rPr>
          <w:rFonts w:ascii="仿宋_GB2312" w:hAnsi="仿宋" w:eastAsia="仿宋_GB2312"/>
          <w:color w:val="auto"/>
          <w:sz w:val="28"/>
          <w:szCs w:val="32"/>
        </w:rPr>
        <w:t>24</w:t>
      </w:r>
      <w:r>
        <w:rPr>
          <w:rFonts w:hint="eastAsia" w:ascii="仿宋_GB2312" w:hAnsi="仿宋" w:eastAsia="仿宋_GB2312"/>
          <w:color w:val="auto"/>
          <w:sz w:val="28"/>
          <w:szCs w:val="32"/>
        </w:rPr>
        <w:t>小时的声纹识别，提交声纹识别分析报告。</w:t>
      </w:r>
    </w:p>
    <w:p>
      <w:pPr>
        <w:adjustRightInd w:val="0"/>
        <w:snapToGrid w:val="0"/>
        <w:spacing w:line="590" w:lineRule="exact"/>
        <w:ind w:firstLine="560" w:firstLineChars="200"/>
        <w:rPr>
          <w:rFonts w:ascii="仿宋_GB2312" w:hAnsi="仿宋" w:eastAsia="仿宋_GB2312"/>
          <w:b/>
          <w:color w:val="auto"/>
          <w:sz w:val="28"/>
          <w:szCs w:val="32"/>
        </w:rPr>
      </w:pPr>
      <w:r>
        <w:rPr>
          <w:rFonts w:hint="eastAsia" w:ascii="仿宋_GB2312" w:hAnsi="仿宋" w:eastAsia="仿宋_GB2312"/>
          <w:b/>
          <w:color w:val="auto"/>
          <w:sz w:val="28"/>
          <w:szCs w:val="32"/>
        </w:rPr>
        <w:t>（二）服务成果</w:t>
      </w:r>
    </w:p>
    <w:p>
      <w:pPr>
        <w:adjustRightInd w:val="0"/>
        <w:snapToGrid w:val="0"/>
        <w:spacing w:line="590" w:lineRule="exact"/>
        <w:ind w:firstLine="560" w:firstLineChars="200"/>
        <w:rPr>
          <w:rFonts w:ascii="仿宋_GB2312" w:hAnsi="仿宋" w:eastAsia="仿宋_GB2312"/>
          <w:color w:val="auto"/>
          <w:sz w:val="28"/>
          <w:szCs w:val="32"/>
        </w:rPr>
      </w:pPr>
      <w:r>
        <w:rPr>
          <w:rFonts w:hint="eastAsia" w:ascii="仿宋_GB2312" w:hAnsi="仿宋" w:eastAsia="仿宋_GB2312"/>
          <w:color w:val="auto"/>
          <w:sz w:val="28"/>
          <w:szCs w:val="32"/>
        </w:rPr>
        <w:t>完成20个点位的摸查溯源与声纹识别研究工作，</w:t>
      </w:r>
      <w:r>
        <w:rPr>
          <w:rFonts w:ascii="仿宋_GB2312" w:hAnsi="仿宋" w:eastAsia="仿宋_GB2312"/>
          <w:color w:val="auto"/>
          <w:sz w:val="28"/>
          <w:szCs w:val="32"/>
        </w:rPr>
        <w:t>20</w:t>
      </w:r>
      <w:r>
        <w:rPr>
          <w:rFonts w:hint="eastAsia" w:ascii="仿宋_GB2312" w:hAnsi="仿宋" w:eastAsia="仿宋_GB2312"/>
          <w:color w:val="auto"/>
          <w:sz w:val="28"/>
          <w:szCs w:val="32"/>
        </w:rPr>
        <w:t>个点位的采样及噪声超标录音工作，开展至少3个点位的2</w:t>
      </w:r>
      <w:r>
        <w:rPr>
          <w:rFonts w:hint="eastAsia" w:ascii="仿宋" w:hAnsi="仿宋" w:eastAsia="仿宋"/>
          <w:color w:val="auto"/>
          <w:sz w:val="28"/>
          <w:szCs w:val="32"/>
        </w:rPr>
        <w:t>×</w:t>
      </w:r>
      <w:r>
        <w:rPr>
          <w:rFonts w:ascii="仿宋_GB2312" w:hAnsi="仿宋" w:eastAsia="仿宋_GB2312"/>
          <w:color w:val="auto"/>
          <w:sz w:val="28"/>
          <w:szCs w:val="32"/>
        </w:rPr>
        <w:t>24</w:t>
      </w:r>
      <w:r>
        <w:rPr>
          <w:rFonts w:hint="eastAsia" w:ascii="仿宋_GB2312" w:hAnsi="仿宋" w:eastAsia="仿宋_GB2312"/>
          <w:color w:val="auto"/>
          <w:sz w:val="28"/>
          <w:szCs w:val="32"/>
        </w:rPr>
        <w:t>小时以及20个点位噪声超标录音的声纹识别，提交监测溯源分析和声纹识别报告。</w:t>
      </w:r>
    </w:p>
    <w:p>
      <w:pPr>
        <w:adjustRightInd w:val="0"/>
        <w:snapToGrid w:val="0"/>
        <w:spacing w:line="590" w:lineRule="exact"/>
        <w:ind w:firstLine="560" w:firstLineChars="200"/>
        <w:rPr>
          <w:rFonts w:ascii="仿宋_GB2312" w:hAnsi="仿宋" w:eastAsia="仿宋_GB2312"/>
          <w:b/>
          <w:color w:val="auto"/>
          <w:sz w:val="28"/>
          <w:szCs w:val="32"/>
        </w:rPr>
      </w:pPr>
      <w:r>
        <w:rPr>
          <w:rFonts w:hint="eastAsia" w:ascii="仿宋_GB2312" w:hAnsi="仿宋" w:eastAsia="仿宋_GB2312"/>
          <w:b/>
          <w:color w:val="auto"/>
          <w:sz w:val="28"/>
          <w:szCs w:val="32"/>
        </w:rPr>
        <w:t>（三）服务技术要求</w:t>
      </w:r>
    </w:p>
    <w:p>
      <w:pPr>
        <w:adjustRightInd w:val="0"/>
        <w:snapToGrid w:val="0"/>
        <w:spacing w:line="590" w:lineRule="exact"/>
        <w:ind w:firstLine="560" w:firstLineChars="200"/>
        <w:rPr>
          <w:rFonts w:ascii="黑体" w:hAnsi="黑体" w:eastAsia="黑体"/>
          <w:color w:val="auto"/>
          <w:sz w:val="28"/>
          <w:szCs w:val="32"/>
        </w:rPr>
      </w:pPr>
      <w:r>
        <w:rPr>
          <w:rFonts w:hint="eastAsia" w:ascii="仿宋_GB2312" w:hAnsi="仿宋" w:eastAsia="仿宋_GB2312"/>
          <w:color w:val="auto"/>
          <w:sz w:val="28"/>
          <w:szCs w:val="32"/>
        </w:rPr>
        <w:t>1</w:t>
      </w:r>
      <w:r>
        <w:rPr>
          <w:rFonts w:hint="eastAsia" w:eastAsia="仿宋_GB2312"/>
          <w:color w:val="auto"/>
          <w:sz w:val="28"/>
          <w:szCs w:val="32"/>
        </w:rPr>
        <w:t>、</w:t>
      </w:r>
      <w:r>
        <w:rPr>
          <w:rFonts w:hint="eastAsia" w:ascii="仿宋_GB2312" w:hAnsi="仿宋" w:eastAsia="仿宋_GB2312"/>
          <w:color w:val="auto"/>
          <w:sz w:val="28"/>
          <w:szCs w:val="32"/>
        </w:rPr>
        <w:t>监测点位、监测要求</w:t>
      </w:r>
    </w:p>
    <w:p>
      <w:pPr>
        <w:adjustRightInd w:val="0"/>
        <w:snapToGrid w:val="0"/>
        <w:spacing w:line="590" w:lineRule="exact"/>
        <w:ind w:firstLine="560" w:firstLineChars="200"/>
        <w:jc w:val="center"/>
        <w:rPr>
          <w:rFonts w:ascii="仿宋_GB2312" w:hAnsi="仿宋" w:eastAsia="仿宋_GB2312"/>
          <w:color w:val="auto"/>
          <w:sz w:val="28"/>
          <w:szCs w:val="32"/>
        </w:rPr>
      </w:pPr>
      <w:r>
        <w:rPr>
          <w:rFonts w:hint="eastAsia" w:ascii="仿宋_GB2312" w:hAnsi="仿宋" w:eastAsia="仿宋_GB2312"/>
          <w:color w:val="auto"/>
          <w:sz w:val="28"/>
          <w:szCs w:val="32"/>
        </w:rPr>
        <w:t>表2   广州市噪声常规监测重点网格点位摸查溯源与声纹识别研究工作项目监测点位及要求</w:t>
      </w:r>
    </w:p>
    <w:tbl>
      <w:tblPr>
        <w:tblStyle w:val="5"/>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817"/>
        <w:gridCol w:w="4536"/>
        <w:gridCol w:w="3169"/>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blHeader/>
          <w:jc w:val="center"/>
        </w:trPr>
        <w:tc>
          <w:tcPr>
            <w:tcW w:w="817" w:type="dxa"/>
          </w:tcPr>
          <w:p>
            <w:pPr>
              <w:adjustRightInd w:val="0"/>
              <w:snapToGrid w:val="0"/>
              <w:spacing w:line="240" w:lineRule="atLeast"/>
              <w:jc w:val="center"/>
              <w:rPr>
                <w:rFonts w:ascii="仿宋_GB2312" w:hAnsi="仿宋" w:eastAsia="仿宋_GB2312"/>
                <w:color w:val="auto"/>
                <w:sz w:val="24"/>
                <w:szCs w:val="24"/>
              </w:rPr>
            </w:pPr>
            <w:r>
              <w:rPr>
                <w:rFonts w:hint="eastAsia" w:ascii="仿宋_GB2312" w:hAnsi="仿宋" w:eastAsia="仿宋_GB2312"/>
                <w:color w:val="auto"/>
                <w:sz w:val="24"/>
                <w:szCs w:val="24"/>
              </w:rPr>
              <w:t>序号</w:t>
            </w:r>
          </w:p>
        </w:tc>
        <w:tc>
          <w:tcPr>
            <w:tcW w:w="4536" w:type="dxa"/>
          </w:tcPr>
          <w:p>
            <w:pPr>
              <w:adjustRightInd w:val="0"/>
              <w:snapToGrid w:val="0"/>
              <w:spacing w:line="240" w:lineRule="atLeast"/>
              <w:jc w:val="center"/>
              <w:rPr>
                <w:rFonts w:ascii="仿宋_GB2312" w:hAnsi="仿宋" w:eastAsia="仿宋_GB2312"/>
                <w:color w:val="auto"/>
                <w:sz w:val="24"/>
                <w:szCs w:val="24"/>
              </w:rPr>
            </w:pPr>
            <w:r>
              <w:rPr>
                <w:rFonts w:hint="eastAsia" w:ascii="仿宋_GB2312" w:hAnsi="仿宋" w:eastAsia="仿宋_GB2312"/>
                <w:color w:val="auto"/>
                <w:sz w:val="24"/>
                <w:szCs w:val="24"/>
              </w:rPr>
              <w:t>监测点位</w:t>
            </w:r>
          </w:p>
        </w:tc>
        <w:tc>
          <w:tcPr>
            <w:tcW w:w="3169" w:type="dxa"/>
          </w:tcPr>
          <w:p>
            <w:pPr>
              <w:adjustRightInd w:val="0"/>
              <w:snapToGrid w:val="0"/>
              <w:spacing w:line="240" w:lineRule="atLeast"/>
              <w:jc w:val="center"/>
              <w:rPr>
                <w:rFonts w:ascii="仿宋_GB2312" w:hAnsi="仿宋" w:eastAsia="仿宋_GB2312"/>
                <w:color w:val="auto"/>
                <w:sz w:val="24"/>
                <w:szCs w:val="24"/>
              </w:rPr>
            </w:pPr>
            <w:r>
              <w:rPr>
                <w:rFonts w:hint="eastAsia" w:ascii="仿宋_GB2312" w:hAnsi="仿宋" w:eastAsia="仿宋_GB2312"/>
                <w:color w:val="auto"/>
                <w:sz w:val="24"/>
                <w:szCs w:val="24"/>
              </w:rPr>
              <w:t>监测要求</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817" w:type="dxa"/>
          </w:tcPr>
          <w:p>
            <w:pPr>
              <w:adjustRightInd w:val="0"/>
              <w:snapToGrid w:val="0"/>
              <w:spacing w:line="240" w:lineRule="atLeast"/>
              <w:jc w:val="center"/>
              <w:rPr>
                <w:rFonts w:ascii="仿宋_GB2312" w:hAnsi="仿宋" w:eastAsia="仿宋_GB2312"/>
                <w:color w:val="auto"/>
                <w:sz w:val="24"/>
                <w:szCs w:val="24"/>
              </w:rPr>
            </w:pPr>
            <w:r>
              <w:rPr>
                <w:rFonts w:hint="eastAsia" w:ascii="仿宋_GB2312" w:hAnsi="仿宋" w:eastAsia="仿宋_GB2312"/>
                <w:color w:val="auto"/>
                <w:sz w:val="24"/>
                <w:szCs w:val="24"/>
              </w:rPr>
              <w:t>1</w:t>
            </w:r>
          </w:p>
        </w:tc>
        <w:tc>
          <w:tcPr>
            <w:tcW w:w="4536" w:type="dxa"/>
          </w:tcPr>
          <w:p>
            <w:pPr>
              <w:adjustRightInd w:val="0"/>
              <w:snapToGrid w:val="0"/>
              <w:spacing w:line="240" w:lineRule="atLeast"/>
              <w:jc w:val="center"/>
              <w:rPr>
                <w:rFonts w:ascii="仿宋_GB2312" w:hAnsi="仿宋" w:eastAsia="仿宋_GB2312"/>
                <w:color w:val="auto"/>
                <w:sz w:val="24"/>
                <w:szCs w:val="24"/>
              </w:rPr>
            </w:pPr>
            <w:r>
              <w:rPr>
                <w:rFonts w:hint="eastAsia" w:ascii="仿宋_GB2312" w:hAnsi="仿宋" w:eastAsia="仿宋_GB2312"/>
                <w:color w:val="auto"/>
                <w:sz w:val="24"/>
                <w:szCs w:val="24"/>
              </w:rPr>
              <w:t>生态环境部华南督察局</w:t>
            </w:r>
          </w:p>
        </w:tc>
        <w:tc>
          <w:tcPr>
            <w:tcW w:w="3169" w:type="dxa"/>
            <w:vMerge w:val="restart"/>
            <w:vAlign w:val="center"/>
          </w:tcPr>
          <w:p>
            <w:pPr>
              <w:adjustRightInd w:val="0"/>
              <w:snapToGrid w:val="0"/>
              <w:spacing w:line="240" w:lineRule="atLeast"/>
              <w:jc w:val="center"/>
              <w:rPr>
                <w:rFonts w:eastAsia="仿宋_GB2312"/>
                <w:color w:val="auto"/>
                <w:sz w:val="24"/>
                <w:szCs w:val="24"/>
              </w:rPr>
            </w:pPr>
            <w:r>
              <w:rPr>
                <w:rFonts w:hint="eastAsia" w:ascii="仿宋_GB2312" w:hAnsi="仿宋" w:eastAsia="仿宋_GB2312"/>
                <w:color w:val="auto"/>
                <w:sz w:val="24"/>
                <w:szCs w:val="24"/>
              </w:rPr>
              <w:t>点位摸查溯源</w:t>
            </w:r>
          </w:p>
          <w:p>
            <w:pPr>
              <w:adjustRightInd w:val="0"/>
              <w:snapToGrid w:val="0"/>
              <w:spacing w:line="240" w:lineRule="atLeast"/>
              <w:jc w:val="center"/>
              <w:rPr>
                <w:rFonts w:eastAsia="仿宋_GB2312"/>
                <w:color w:val="auto"/>
                <w:sz w:val="24"/>
                <w:szCs w:val="24"/>
              </w:rPr>
            </w:pPr>
            <w:r>
              <w:rPr>
                <w:rFonts w:hint="eastAsia" w:ascii="仿宋_GB2312" w:hAnsi="仿宋" w:eastAsia="仿宋_GB2312"/>
                <w:color w:val="auto"/>
                <w:sz w:val="24"/>
                <w:szCs w:val="24"/>
              </w:rPr>
              <w:t>5</w:t>
            </w:r>
            <w:r>
              <w:rPr>
                <w:rFonts w:hint="eastAsia" w:ascii="仿宋" w:hAnsi="仿宋" w:eastAsia="仿宋"/>
                <w:color w:val="auto"/>
                <w:sz w:val="28"/>
                <w:szCs w:val="32"/>
              </w:rPr>
              <w:t>×</w:t>
            </w:r>
            <w:r>
              <w:rPr>
                <w:rFonts w:hint="eastAsia" w:ascii="仿宋_GB2312" w:hAnsi="仿宋" w:eastAsia="仿宋_GB2312"/>
                <w:color w:val="auto"/>
                <w:sz w:val="24"/>
                <w:szCs w:val="24"/>
              </w:rPr>
              <w:t>24小时自动监测</w:t>
            </w:r>
          </w:p>
          <w:p>
            <w:pPr>
              <w:adjustRightInd w:val="0"/>
              <w:snapToGrid w:val="0"/>
              <w:spacing w:line="240" w:lineRule="atLeast"/>
              <w:jc w:val="center"/>
              <w:rPr>
                <w:rFonts w:ascii="仿宋_GB2312" w:hAnsi="仿宋" w:eastAsia="仿宋_GB2312"/>
                <w:color w:val="auto"/>
                <w:sz w:val="24"/>
                <w:szCs w:val="24"/>
              </w:rPr>
            </w:pPr>
            <w:r>
              <w:rPr>
                <w:rFonts w:hint="eastAsia" w:ascii="仿宋_GB2312" w:hAnsi="仿宋" w:eastAsia="仿宋_GB2312"/>
                <w:color w:val="auto"/>
                <w:sz w:val="24"/>
                <w:szCs w:val="24"/>
              </w:rPr>
              <w:t>噪声超标录音</w:t>
            </w:r>
          </w:p>
          <w:p>
            <w:pPr>
              <w:adjustRightInd w:val="0"/>
              <w:snapToGrid w:val="0"/>
              <w:spacing w:line="240" w:lineRule="atLeast"/>
              <w:jc w:val="center"/>
              <w:rPr>
                <w:rFonts w:eastAsia="仿宋_GB2312"/>
                <w:color w:val="auto"/>
                <w:sz w:val="24"/>
                <w:szCs w:val="24"/>
              </w:rPr>
            </w:pPr>
            <w:r>
              <w:rPr>
                <w:rFonts w:hint="eastAsia" w:ascii="仿宋_GB2312" w:hAnsi="仿宋" w:eastAsia="仿宋_GB2312"/>
                <w:color w:val="auto"/>
                <w:sz w:val="24"/>
                <w:szCs w:val="24"/>
              </w:rPr>
              <w:t>声纹识别</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817" w:type="dxa"/>
          </w:tcPr>
          <w:p>
            <w:pPr>
              <w:adjustRightInd w:val="0"/>
              <w:snapToGrid w:val="0"/>
              <w:spacing w:line="240" w:lineRule="atLeast"/>
              <w:jc w:val="center"/>
              <w:rPr>
                <w:rFonts w:ascii="仿宋_GB2312" w:hAnsi="仿宋" w:eastAsia="仿宋_GB2312"/>
                <w:color w:val="auto"/>
                <w:sz w:val="24"/>
                <w:szCs w:val="24"/>
              </w:rPr>
            </w:pPr>
            <w:r>
              <w:rPr>
                <w:rFonts w:hint="eastAsia" w:ascii="仿宋_GB2312" w:hAnsi="仿宋" w:eastAsia="仿宋_GB2312"/>
                <w:color w:val="auto"/>
                <w:sz w:val="24"/>
                <w:szCs w:val="24"/>
              </w:rPr>
              <w:t>2</w:t>
            </w:r>
          </w:p>
        </w:tc>
        <w:tc>
          <w:tcPr>
            <w:tcW w:w="4536" w:type="dxa"/>
          </w:tcPr>
          <w:p>
            <w:pPr>
              <w:adjustRightInd w:val="0"/>
              <w:snapToGrid w:val="0"/>
              <w:spacing w:line="240" w:lineRule="atLeast"/>
              <w:jc w:val="center"/>
              <w:rPr>
                <w:rFonts w:ascii="仿宋_GB2312" w:hAnsi="仿宋" w:eastAsia="仿宋_GB2312"/>
                <w:color w:val="auto"/>
                <w:sz w:val="24"/>
                <w:szCs w:val="24"/>
              </w:rPr>
            </w:pPr>
            <w:r>
              <w:rPr>
                <w:rFonts w:hint="eastAsia" w:ascii="仿宋_GB2312" w:hAnsi="仿宋" w:eastAsia="仿宋_GB2312"/>
                <w:color w:val="auto"/>
                <w:sz w:val="24"/>
                <w:szCs w:val="24"/>
              </w:rPr>
              <w:t>广州市荔湾区西村街道办事处</w:t>
            </w:r>
          </w:p>
        </w:tc>
        <w:tc>
          <w:tcPr>
            <w:tcW w:w="3169" w:type="dxa"/>
            <w:vMerge w:val="continue"/>
          </w:tcPr>
          <w:p>
            <w:pPr>
              <w:adjustRightInd w:val="0"/>
              <w:snapToGrid w:val="0"/>
              <w:spacing w:line="240" w:lineRule="atLeast"/>
              <w:jc w:val="center"/>
              <w:rPr>
                <w:rFonts w:ascii="仿宋_GB2312" w:hAnsi="仿宋" w:eastAsia="仿宋_GB2312"/>
                <w:color w:val="auto"/>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817" w:type="dxa"/>
          </w:tcPr>
          <w:p>
            <w:pPr>
              <w:adjustRightInd w:val="0"/>
              <w:snapToGrid w:val="0"/>
              <w:spacing w:line="240" w:lineRule="atLeast"/>
              <w:jc w:val="center"/>
              <w:rPr>
                <w:rFonts w:ascii="仿宋_GB2312" w:hAnsi="仿宋" w:eastAsia="仿宋_GB2312"/>
                <w:color w:val="auto"/>
                <w:sz w:val="24"/>
                <w:szCs w:val="24"/>
              </w:rPr>
            </w:pPr>
            <w:r>
              <w:rPr>
                <w:rFonts w:hint="eastAsia" w:ascii="仿宋_GB2312" w:hAnsi="仿宋" w:eastAsia="仿宋_GB2312"/>
                <w:color w:val="auto"/>
                <w:sz w:val="24"/>
                <w:szCs w:val="24"/>
              </w:rPr>
              <w:t>3</w:t>
            </w:r>
          </w:p>
        </w:tc>
        <w:tc>
          <w:tcPr>
            <w:tcW w:w="4536" w:type="dxa"/>
          </w:tcPr>
          <w:p>
            <w:pPr>
              <w:adjustRightInd w:val="0"/>
              <w:snapToGrid w:val="0"/>
              <w:spacing w:line="240" w:lineRule="atLeast"/>
              <w:jc w:val="center"/>
              <w:rPr>
                <w:rFonts w:ascii="仿宋_GB2312" w:hAnsi="仿宋" w:eastAsia="仿宋_GB2312"/>
                <w:color w:val="auto"/>
                <w:sz w:val="24"/>
                <w:szCs w:val="24"/>
              </w:rPr>
            </w:pPr>
            <w:r>
              <w:rPr>
                <w:rFonts w:hint="eastAsia" w:ascii="仿宋_GB2312" w:hAnsi="仿宋" w:eastAsia="仿宋_GB2312"/>
                <w:color w:val="auto"/>
                <w:sz w:val="24"/>
                <w:szCs w:val="24"/>
              </w:rPr>
              <w:t>碧桂园豪园</w:t>
            </w:r>
          </w:p>
        </w:tc>
        <w:tc>
          <w:tcPr>
            <w:tcW w:w="3169" w:type="dxa"/>
            <w:vMerge w:val="continue"/>
          </w:tcPr>
          <w:p>
            <w:pPr>
              <w:adjustRightInd w:val="0"/>
              <w:snapToGrid w:val="0"/>
              <w:spacing w:line="240" w:lineRule="atLeast"/>
              <w:jc w:val="center"/>
              <w:rPr>
                <w:rFonts w:ascii="仿宋_GB2312" w:hAnsi="仿宋" w:eastAsia="仿宋_GB2312"/>
                <w:color w:val="auto"/>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817" w:type="dxa"/>
          </w:tcPr>
          <w:p>
            <w:pPr>
              <w:adjustRightInd w:val="0"/>
              <w:snapToGrid w:val="0"/>
              <w:spacing w:line="240" w:lineRule="atLeast"/>
              <w:jc w:val="center"/>
              <w:rPr>
                <w:rFonts w:ascii="仿宋_GB2312" w:hAnsi="仿宋" w:eastAsia="仿宋_GB2312"/>
                <w:color w:val="auto"/>
                <w:sz w:val="24"/>
                <w:szCs w:val="24"/>
              </w:rPr>
            </w:pPr>
            <w:r>
              <w:rPr>
                <w:rFonts w:hint="eastAsia" w:ascii="仿宋_GB2312" w:hAnsi="仿宋" w:eastAsia="仿宋_GB2312"/>
                <w:color w:val="auto"/>
                <w:sz w:val="24"/>
                <w:szCs w:val="24"/>
              </w:rPr>
              <w:t>4</w:t>
            </w:r>
          </w:p>
        </w:tc>
        <w:tc>
          <w:tcPr>
            <w:tcW w:w="4536" w:type="dxa"/>
          </w:tcPr>
          <w:p>
            <w:pPr>
              <w:adjustRightInd w:val="0"/>
              <w:snapToGrid w:val="0"/>
              <w:spacing w:line="240" w:lineRule="atLeast"/>
              <w:jc w:val="center"/>
              <w:rPr>
                <w:rFonts w:ascii="仿宋_GB2312" w:hAnsi="仿宋" w:eastAsia="仿宋_GB2312"/>
                <w:color w:val="auto"/>
                <w:sz w:val="24"/>
                <w:szCs w:val="24"/>
              </w:rPr>
            </w:pPr>
            <w:r>
              <w:rPr>
                <w:rFonts w:hint="eastAsia" w:ascii="仿宋_GB2312" w:hAnsi="仿宋" w:eastAsia="仿宋_GB2312"/>
                <w:color w:val="auto"/>
                <w:sz w:val="24"/>
                <w:szCs w:val="24"/>
              </w:rPr>
              <w:t>广州市儿童公园</w:t>
            </w:r>
          </w:p>
        </w:tc>
        <w:tc>
          <w:tcPr>
            <w:tcW w:w="3169" w:type="dxa"/>
            <w:vMerge w:val="continue"/>
          </w:tcPr>
          <w:p>
            <w:pPr>
              <w:adjustRightInd w:val="0"/>
              <w:snapToGrid w:val="0"/>
              <w:spacing w:line="240" w:lineRule="atLeast"/>
              <w:jc w:val="center"/>
              <w:rPr>
                <w:rFonts w:ascii="仿宋_GB2312" w:hAnsi="仿宋" w:eastAsia="仿宋_GB2312"/>
                <w:color w:val="auto"/>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817" w:type="dxa"/>
          </w:tcPr>
          <w:p>
            <w:pPr>
              <w:adjustRightInd w:val="0"/>
              <w:snapToGrid w:val="0"/>
              <w:spacing w:line="240" w:lineRule="atLeast"/>
              <w:jc w:val="center"/>
              <w:rPr>
                <w:rFonts w:ascii="仿宋_GB2312" w:hAnsi="仿宋" w:eastAsia="仿宋_GB2312"/>
                <w:color w:val="auto"/>
                <w:sz w:val="24"/>
                <w:szCs w:val="24"/>
              </w:rPr>
            </w:pPr>
            <w:r>
              <w:rPr>
                <w:rFonts w:hint="eastAsia" w:ascii="仿宋_GB2312" w:hAnsi="仿宋" w:eastAsia="仿宋_GB2312"/>
                <w:color w:val="auto"/>
                <w:sz w:val="24"/>
                <w:szCs w:val="24"/>
              </w:rPr>
              <w:t>5</w:t>
            </w:r>
          </w:p>
        </w:tc>
        <w:tc>
          <w:tcPr>
            <w:tcW w:w="4536" w:type="dxa"/>
          </w:tcPr>
          <w:p>
            <w:pPr>
              <w:adjustRightInd w:val="0"/>
              <w:snapToGrid w:val="0"/>
              <w:spacing w:line="240" w:lineRule="atLeast"/>
              <w:jc w:val="center"/>
              <w:rPr>
                <w:rFonts w:ascii="仿宋_GB2312" w:hAnsi="仿宋" w:eastAsia="仿宋_GB2312"/>
                <w:color w:val="auto"/>
                <w:sz w:val="24"/>
                <w:szCs w:val="24"/>
              </w:rPr>
            </w:pPr>
            <w:r>
              <w:rPr>
                <w:rFonts w:hint="eastAsia" w:ascii="仿宋_GB2312" w:hAnsi="仿宋" w:eastAsia="仿宋_GB2312"/>
                <w:color w:val="auto"/>
                <w:sz w:val="24"/>
                <w:szCs w:val="24"/>
              </w:rPr>
              <w:t>蕉门公园</w:t>
            </w:r>
          </w:p>
        </w:tc>
        <w:tc>
          <w:tcPr>
            <w:tcW w:w="3169" w:type="dxa"/>
            <w:vMerge w:val="continue"/>
          </w:tcPr>
          <w:p>
            <w:pPr>
              <w:adjustRightInd w:val="0"/>
              <w:snapToGrid w:val="0"/>
              <w:spacing w:line="240" w:lineRule="atLeast"/>
              <w:jc w:val="center"/>
              <w:rPr>
                <w:rFonts w:ascii="仿宋_GB2312" w:hAnsi="仿宋" w:eastAsia="仿宋_GB2312"/>
                <w:color w:val="auto"/>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817" w:type="dxa"/>
          </w:tcPr>
          <w:p>
            <w:pPr>
              <w:adjustRightInd w:val="0"/>
              <w:snapToGrid w:val="0"/>
              <w:spacing w:line="240" w:lineRule="atLeast"/>
              <w:jc w:val="center"/>
              <w:rPr>
                <w:rFonts w:ascii="仿宋_GB2312" w:hAnsi="仿宋" w:eastAsia="仿宋_GB2312"/>
                <w:color w:val="auto"/>
                <w:sz w:val="24"/>
                <w:szCs w:val="24"/>
              </w:rPr>
            </w:pPr>
            <w:r>
              <w:rPr>
                <w:rFonts w:hint="eastAsia" w:ascii="仿宋_GB2312" w:hAnsi="仿宋" w:eastAsia="仿宋_GB2312"/>
                <w:color w:val="auto"/>
                <w:sz w:val="24"/>
                <w:szCs w:val="24"/>
              </w:rPr>
              <w:t>6</w:t>
            </w:r>
          </w:p>
        </w:tc>
        <w:tc>
          <w:tcPr>
            <w:tcW w:w="4536" w:type="dxa"/>
          </w:tcPr>
          <w:p>
            <w:pPr>
              <w:adjustRightInd w:val="0"/>
              <w:snapToGrid w:val="0"/>
              <w:spacing w:line="240" w:lineRule="atLeast"/>
              <w:jc w:val="center"/>
              <w:rPr>
                <w:rFonts w:ascii="仿宋_GB2312" w:hAnsi="仿宋" w:eastAsia="仿宋_GB2312"/>
                <w:color w:val="auto"/>
                <w:sz w:val="24"/>
                <w:szCs w:val="24"/>
              </w:rPr>
            </w:pPr>
            <w:r>
              <w:rPr>
                <w:rFonts w:hint="eastAsia" w:ascii="仿宋_GB2312" w:hAnsi="仿宋" w:eastAsia="仿宋_GB2312"/>
                <w:color w:val="auto"/>
                <w:sz w:val="24"/>
                <w:szCs w:val="24"/>
              </w:rPr>
              <w:t>维也纳酒店（广州花都狮岭皮革城店）</w:t>
            </w:r>
          </w:p>
        </w:tc>
        <w:tc>
          <w:tcPr>
            <w:tcW w:w="3169" w:type="dxa"/>
            <w:vMerge w:val="continue"/>
          </w:tcPr>
          <w:p>
            <w:pPr>
              <w:adjustRightInd w:val="0"/>
              <w:snapToGrid w:val="0"/>
              <w:spacing w:line="240" w:lineRule="atLeast"/>
              <w:jc w:val="center"/>
              <w:rPr>
                <w:rFonts w:ascii="仿宋_GB2312" w:hAnsi="仿宋" w:eastAsia="仿宋_GB2312"/>
                <w:color w:val="auto"/>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817" w:type="dxa"/>
          </w:tcPr>
          <w:p>
            <w:pPr>
              <w:adjustRightInd w:val="0"/>
              <w:snapToGrid w:val="0"/>
              <w:spacing w:line="240" w:lineRule="atLeast"/>
              <w:jc w:val="center"/>
              <w:rPr>
                <w:rFonts w:ascii="仿宋_GB2312" w:hAnsi="仿宋" w:eastAsia="仿宋_GB2312"/>
                <w:color w:val="auto"/>
                <w:sz w:val="24"/>
                <w:szCs w:val="24"/>
              </w:rPr>
            </w:pPr>
            <w:r>
              <w:rPr>
                <w:rFonts w:hint="eastAsia" w:ascii="仿宋_GB2312" w:hAnsi="仿宋" w:eastAsia="仿宋_GB2312"/>
                <w:color w:val="auto"/>
                <w:sz w:val="24"/>
                <w:szCs w:val="24"/>
              </w:rPr>
              <w:t>7</w:t>
            </w:r>
          </w:p>
        </w:tc>
        <w:tc>
          <w:tcPr>
            <w:tcW w:w="4536" w:type="dxa"/>
          </w:tcPr>
          <w:p>
            <w:pPr>
              <w:adjustRightInd w:val="0"/>
              <w:snapToGrid w:val="0"/>
              <w:spacing w:line="240" w:lineRule="atLeast"/>
              <w:jc w:val="center"/>
              <w:rPr>
                <w:rFonts w:ascii="仿宋_GB2312" w:hAnsi="仿宋" w:eastAsia="仿宋_GB2312"/>
                <w:color w:val="auto"/>
                <w:sz w:val="24"/>
                <w:szCs w:val="24"/>
              </w:rPr>
            </w:pPr>
            <w:r>
              <w:rPr>
                <w:rFonts w:hint="eastAsia" w:ascii="仿宋_GB2312" w:hAnsi="仿宋" w:eastAsia="仿宋_GB2312"/>
                <w:color w:val="auto"/>
                <w:sz w:val="24"/>
                <w:szCs w:val="24"/>
              </w:rPr>
              <w:t>广东金融学院</w:t>
            </w:r>
          </w:p>
        </w:tc>
        <w:tc>
          <w:tcPr>
            <w:tcW w:w="3169" w:type="dxa"/>
            <w:vMerge w:val="continue"/>
          </w:tcPr>
          <w:p>
            <w:pPr>
              <w:adjustRightInd w:val="0"/>
              <w:snapToGrid w:val="0"/>
              <w:spacing w:line="240" w:lineRule="atLeast"/>
              <w:jc w:val="center"/>
              <w:rPr>
                <w:rFonts w:ascii="仿宋_GB2312" w:hAnsi="仿宋" w:eastAsia="仿宋_GB2312"/>
                <w:color w:val="auto"/>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817" w:type="dxa"/>
          </w:tcPr>
          <w:p>
            <w:pPr>
              <w:adjustRightInd w:val="0"/>
              <w:snapToGrid w:val="0"/>
              <w:spacing w:line="240" w:lineRule="atLeast"/>
              <w:jc w:val="center"/>
              <w:rPr>
                <w:rFonts w:ascii="仿宋_GB2312" w:hAnsi="仿宋" w:eastAsia="仿宋_GB2312"/>
                <w:color w:val="auto"/>
                <w:sz w:val="24"/>
                <w:szCs w:val="24"/>
              </w:rPr>
            </w:pPr>
            <w:r>
              <w:rPr>
                <w:rFonts w:hint="eastAsia" w:ascii="仿宋_GB2312" w:hAnsi="仿宋" w:eastAsia="仿宋_GB2312"/>
                <w:color w:val="auto"/>
                <w:sz w:val="24"/>
                <w:szCs w:val="24"/>
              </w:rPr>
              <w:t>8</w:t>
            </w:r>
          </w:p>
        </w:tc>
        <w:tc>
          <w:tcPr>
            <w:tcW w:w="4536" w:type="dxa"/>
          </w:tcPr>
          <w:p>
            <w:pPr>
              <w:adjustRightInd w:val="0"/>
              <w:snapToGrid w:val="0"/>
              <w:spacing w:line="240" w:lineRule="atLeast"/>
              <w:jc w:val="center"/>
              <w:rPr>
                <w:rFonts w:ascii="仿宋_GB2312" w:hAnsi="仿宋" w:eastAsia="仿宋_GB2312"/>
                <w:color w:val="auto"/>
                <w:sz w:val="24"/>
                <w:szCs w:val="24"/>
              </w:rPr>
            </w:pPr>
            <w:r>
              <w:rPr>
                <w:rFonts w:hint="eastAsia" w:ascii="仿宋_GB2312" w:hAnsi="仿宋" w:eastAsia="仿宋_GB2312"/>
                <w:color w:val="auto"/>
                <w:sz w:val="24"/>
                <w:szCs w:val="24"/>
              </w:rPr>
              <w:t>海珠区党委学校</w:t>
            </w:r>
          </w:p>
        </w:tc>
        <w:tc>
          <w:tcPr>
            <w:tcW w:w="3169" w:type="dxa"/>
            <w:vMerge w:val="continue"/>
          </w:tcPr>
          <w:p>
            <w:pPr>
              <w:adjustRightInd w:val="0"/>
              <w:snapToGrid w:val="0"/>
              <w:spacing w:line="240" w:lineRule="atLeast"/>
              <w:jc w:val="center"/>
              <w:rPr>
                <w:rFonts w:ascii="仿宋_GB2312" w:hAnsi="仿宋" w:eastAsia="仿宋_GB2312"/>
                <w:color w:val="auto"/>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817" w:type="dxa"/>
          </w:tcPr>
          <w:p>
            <w:pPr>
              <w:adjustRightInd w:val="0"/>
              <w:snapToGrid w:val="0"/>
              <w:spacing w:line="240" w:lineRule="atLeast"/>
              <w:jc w:val="center"/>
              <w:rPr>
                <w:rFonts w:ascii="仿宋_GB2312" w:hAnsi="仿宋" w:eastAsia="仿宋_GB2312"/>
                <w:color w:val="auto"/>
                <w:sz w:val="24"/>
                <w:szCs w:val="24"/>
              </w:rPr>
            </w:pPr>
            <w:r>
              <w:rPr>
                <w:rFonts w:hint="eastAsia" w:ascii="仿宋_GB2312" w:hAnsi="仿宋" w:eastAsia="仿宋_GB2312"/>
                <w:color w:val="auto"/>
                <w:sz w:val="24"/>
                <w:szCs w:val="24"/>
              </w:rPr>
              <w:t>9</w:t>
            </w:r>
          </w:p>
        </w:tc>
        <w:tc>
          <w:tcPr>
            <w:tcW w:w="4536" w:type="dxa"/>
          </w:tcPr>
          <w:p>
            <w:pPr>
              <w:adjustRightInd w:val="0"/>
              <w:snapToGrid w:val="0"/>
              <w:spacing w:line="240" w:lineRule="atLeast"/>
              <w:jc w:val="center"/>
              <w:rPr>
                <w:rFonts w:ascii="仿宋_GB2312" w:hAnsi="仿宋" w:eastAsia="仿宋_GB2312"/>
                <w:color w:val="auto"/>
                <w:sz w:val="24"/>
                <w:szCs w:val="24"/>
              </w:rPr>
            </w:pPr>
            <w:r>
              <w:rPr>
                <w:rFonts w:hint="eastAsia" w:ascii="仿宋_GB2312" w:hAnsi="仿宋" w:eastAsia="仿宋_GB2312"/>
                <w:color w:val="auto"/>
                <w:sz w:val="24"/>
                <w:szCs w:val="24"/>
              </w:rPr>
              <w:t>珠江宾馆</w:t>
            </w:r>
          </w:p>
        </w:tc>
        <w:tc>
          <w:tcPr>
            <w:tcW w:w="3169" w:type="dxa"/>
            <w:vMerge w:val="continue"/>
          </w:tcPr>
          <w:p>
            <w:pPr>
              <w:adjustRightInd w:val="0"/>
              <w:snapToGrid w:val="0"/>
              <w:spacing w:line="240" w:lineRule="atLeast"/>
              <w:jc w:val="center"/>
              <w:rPr>
                <w:rFonts w:ascii="仿宋_GB2312" w:hAnsi="仿宋" w:eastAsia="仿宋_GB2312"/>
                <w:color w:val="auto"/>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817" w:type="dxa"/>
          </w:tcPr>
          <w:p>
            <w:pPr>
              <w:adjustRightInd w:val="0"/>
              <w:snapToGrid w:val="0"/>
              <w:spacing w:line="240" w:lineRule="atLeast"/>
              <w:jc w:val="center"/>
              <w:rPr>
                <w:rFonts w:ascii="仿宋_GB2312" w:hAnsi="仿宋" w:eastAsia="仿宋_GB2312"/>
                <w:color w:val="auto"/>
                <w:sz w:val="24"/>
                <w:szCs w:val="24"/>
              </w:rPr>
            </w:pPr>
            <w:r>
              <w:rPr>
                <w:rFonts w:hint="eastAsia" w:ascii="仿宋_GB2312" w:hAnsi="仿宋" w:eastAsia="仿宋_GB2312"/>
                <w:color w:val="auto"/>
                <w:sz w:val="24"/>
                <w:szCs w:val="24"/>
              </w:rPr>
              <w:t>10</w:t>
            </w:r>
          </w:p>
        </w:tc>
        <w:tc>
          <w:tcPr>
            <w:tcW w:w="4536" w:type="dxa"/>
          </w:tcPr>
          <w:p>
            <w:pPr>
              <w:adjustRightInd w:val="0"/>
              <w:snapToGrid w:val="0"/>
              <w:spacing w:line="240" w:lineRule="atLeast"/>
              <w:jc w:val="center"/>
              <w:rPr>
                <w:rFonts w:ascii="仿宋_GB2312" w:hAnsi="仿宋" w:eastAsia="仿宋_GB2312"/>
                <w:color w:val="auto"/>
                <w:sz w:val="24"/>
                <w:szCs w:val="24"/>
              </w:rPr>
            </w:pPr>
            <w:r>
              <w:rPr>
                <w:rFonts w:hint="eastAsia" w:ascii="仿宋_GB2312" w:hAnsi="仿宋" w:eastAsia="仿宋_GB2312"/>
                <w:color w:val="auto"/>
                <w:sz w:val="24"/>
                <w:szCs w:val="24"/>
              </w:rPr>
              <w:t>南航碧桂园</w:t>
            </w:r>
          </w:p>
        </w:tc>
        <w:tc>
          <w:tcPr>
            <w:tcW w:w="3169" w:type="dxa"/>
            <w:vMerge w:val="continue"/>
          </w:tcPr>
          <w:p>
            <w:pPr>
              <w:adjustRightInd w:val="0"/>
              <w:snapToGrid w:val="0"/>
              <w:spacing w:line="240" w:lineRule="atLeast"/>
              <w:jc w:val="center"/>
              <w:rPr>
                <w:rFonts w:ascii="仿宋_GB2312" w:hAnsi="仿宋" w:eastAsia="仿宋_GB2312"/>
                <w:color w:val="auto"/>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817" w:type="dxa"/>
          </w:tcPr>
          <w:p>
            <w:pPr>
              <w:adjustRightInd w:val="0"/>
              <w:snapToGrid w:val="0"/>
              <w:spacing w:line="240" w:lineRule="atLeast"/>
              <w:jc w:val="center"/>
              <w:rPr>
                <w:rFonts w:ascii="仿宋_GB2312" w:hAnsi="仿宋" w:eastAsia="仿宋_GB2312"/>
                <w:color w:val="auto"/>
                <w:sz w:val="24"/>
                <w:szCs w:val="24"/>
              </w:rPr>
            </w:pPr>
            <w:r>
              <w:rPr>
                <w:rFonts w:hint="eastAsia" w:ascii="仿宋_GB2312" w:hAnsi="仿宋" w:eastAsia="仿宋_GB2312"/>
                <w:color w:val="auto"/>
                <w:sz w:val="24"/>
                <w:szCs w:val="24"/>
              </w:rPr>
              <w:t>11</w:t>
            </w:r>
          </w:p>
        </w:tc>
        <w:tc>
          <w:tcPr>
            <w:tcW w:w="4536" w:type="dxa"/>
          </w:tcPr>
          <w:p>
            <w:pPr>
              <w:adjustRightInd w:val="0"/>
              <w:snapToGrid w:val="0"/>
              <w:spacing w:line="240" w:lineRule="atLeast"/>
              <w:jc w:val="center"/>
              <w:rPr>
                <w:rFonts w:ascii="仿宋_GB2312" w:hAnsi="仿宋" w:eastAsia="仿宋_GB2312"/>
                <w:color w:val="auto"/>
                <w:sz w:val="24"/>
                <w:szCs w:val="24"/>
              </w:rPr>
            </w:pPr>
            <w:r>
              <w:rPr>
                <w:rFonts w:hint="eastAsia" w:ascii="仿宋_GB2312" w:hAnsi="仿宋" w:eastAsia="仿宋_GB2312"/>
                <w:color w:val="auto"/>
                <w:sz w:val="24"/>
                <w:szCs w:val="24"/>
              </w:rPr>
              <w:t>荔城街第三中学</w:t>
            </w:r>
          </w:p>
        </w:tc>
        <w:tc>
          <w:tcPr>
            <w:tcW w:w="3169" w:type="dxa"/>
            <w:vMerge w:val="continue"/>
            <w:vAlign w:val="center"/>
          </w:tcPr>
          <w:p>
            <w:pPr>
              <w:adjustRightInd w:val="0"/>
              <w:snapToGrid w:val="0"/>
              <w:spacing w:line="240" w:lineRule="atLeast"/>
              <w:jc w:val="center"/>
              <w:rPr>
                <w:rFonts w:ascii="仿宋_GB2312" w:hAnsi="仿宋" w:eastAsia="仿宋_GB2312"/>
                <w:color w:val="auto"/>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817" w:type="dxa"/>
          </w:tcPr>
          <w:p>
            <w:pPr>
              <w:adjustRightInd w:val="0"/>
              <w:snapToGrid w:val="0"/>
              <w:spacing w:line="240" w:lineRule="atLeast"/>
              <w:jc w:val="center"/>
              <w:rPr>
                <w:rFonts w:ascii="仿宋_GB2312" w:hAnsi="仿宋" w:eastAsia="仿宋_GB2312"/>
                <w:color w:val="auto"/>
                <w:sz w:val="24"/>
                <w:szCs w:val="24"/>
              </w:rPr>
            </w:pPr>
            <w:r>
              <w:rPr>
                <w:rFonts w:hint="eastAsia" w:ascii="仿宋_GB2312" w:hAnsi="仿宋" w:eastAsia="仿宋_GB2312"/>
                <w:color w:val="auto"/>
                <w:sz w:val="24"/>
                <w:szCs w:val="24"/>
              </w:rPr>
              <w:t>12</w:t>
            </w:r>
          </w:p>
        </w:tc>
        <w:tc>
          <w:tcPr>
            <w:tcW w:w="4536" w:type="dxa"/>
          </w:tcPr>
          <w:p>
            <w:pPr>
              <w:adjustRightInd w:val="0"/>
              <w:snapToGrid w:val="0"/>
              <w:spacing w:line="240" w:lineRule="atLeast"/>
              <w:jc w:val="center"/>
              <w:rPr>
                <w:rFonts w:ascii="仿宋_GB2312" w:hAnsi="仿宋" w:eastAsia="仿宋_GB2312"/>
                <w:color w:val="auto"/>
                <w:sz w:val="24"/>
                <w:szCs w:val="24"/>
              </w:rPr>
            </w:pPr>
            <w:r>
              <w:rPr>
                <w:rFonts w:hint="eastAsia" w:ascii="仿宋_GB2312" w:hAnsi="仿宋" w:eastAsia="仿宋_GB2312"/>
                <w:color w:val="auto"/>
                <w:sz w:val="24"/>
                <w:szCs w:val="24"/>
              </w:rPr>
              <w:t>奥园养生广场</w:t>
            </w:r>
          </w:p>
        </w:tc>
        <w:tc>
          <w:tcPr>
            <w:tcW w:w="3169" w:type="dxa"/>
            <w:vMerge w:val="continue"/>
          </w:tcPr>
          <w:p>
            <w:pPr>
              <w:adjustRightInd w:val="0"/>
              <w:snapToGrid w:val="0"/>
              <w:spacing w:line="240" w:lineRule="atLeast"/>
              <w:jc w:val="center"/>
              <w:rPr>
                <w:rFonts w:ascii="仿宋_GB2312" w:hAnsi="仿宋" w:eastAsia="仿宋_GB2312"/>
                <w:color w:val="auto"/>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817" w:type="dxa"/>
          </w:tcPr>
          <w:p>
            <w:pPr>
              <w:adjustRightInd w:val="0"/>
              <w:snapToGrid w:val="0"/>
              <w:spacing w:line="240" w:lineRule="atLeast"/>
              <w:jc w:val="center"/>
              <w:rPr>
                <w:rFonts w:ascii="仿宋_GB2312" w:hAnsi="仿宋" w:eastAsia="仿宋_GB2312"/>
                <w:color w:val="auto"/>
                <w:sz w:val="24"/>
                <w:szCs w:val="24"/>
              </w:rPr>
            </w:pPr>
            <w:r>
              <w:rPr>
                <w:rFonts w:hint="eastAsia" w:ascii="仿宋_GB2312" w:hAnsi="仿宋" w:eastAsia="仿宋_GB2312"/>
                <w:color w:val="auto"/>
                <w:sz w:val="24"/>
                <w:szCs w:val="24"/>
              </w:rPr>
              <w:t>13</w:t>
            </w:r>
          </w:p>
        </w:tc>
        <w:tc>
          <w:tcPr>
            <w:tcW w:w="4536" w:type="dxa"/>
          </w:tcPr>
          <w:p>
            <w:pPr>
              <w:adjustRightInd w:val="0"/>
              <w:snapToGrid w:val="0"/>
              <w:spacing w:line="240" w:lineRule="atLeast"/>
              <w:jc w:val="center"/>
              <w:rPr>
                <w:rFonts w:ascii="仿宋_GB2312" w:hAnsi="仿宋" w:eastAsia="仿宋_GB2312"/>
                <w:color w:val="auto"/>
                <w:sz w:val="24"/>
                <w:szCs w:val="24"/>
              </w:rPr>
            </w:pPr>
            <w:r>
              <w:rPr>
                <w:rFonts w:hint="eastAsia" w:ascii="仿宋_GB2312" w:hAnsi="仿宋" w:eastAsia="仿宋_GB2312"/>
                <w:color w:val="auto"/>
                <w:sz w:val="24"/>
                <w:szCs w:val="24"/>
              </w:rPr>
              <w:t>广州市从化大江路公租房物业管理中心</w:t>
            </w:r>
          </w:p>
        </w:tc>
        <w:tc>
          <w:tcPr>
            <w:tcW w:w="3169" w:type="dxa"/>
            <w:vMerge w:val="continue"/>
          </w:tcPr>
          <w:p>
            <w:pPr>
              <w:adjustRightInd w:val="0"/>
              <w:snapToGrid w:val="0"/>
              <w:spacing w:line="240" w:lineRule="atLeast"/>
              <w:jc w:val="center"/>
              <w:rPr>
                <w:rFonts w:ascii="仿宋_GB2312" w:hAnsi="仿宋" w:eastAsia="仿宋_GB2312"/>
                <w:color w:val="auto"/>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817" w:type="dxa"/>
          </w:tcPr>
          <w:p>
            <w:pPr>
              <w:adjustRightInd w:val="0"/>
              <w:snapToGrid w:val="0"/>
              <w:spacing w:line="240" w:lineRule="atLeast"/>
              <w:jc w:val="center"/>
              <w:rPr>
                <w:rFonts w:ascii="仿宋_GB2312" w:hAnsi="仿宋" w:eastAsia="仿宋_GB2312"/>
                <w:color w:val="auto"/>
                <w:sz w:val="24"/>
                <w:szCs w:val="24"/>
              </w:rPr>
            </w:pPr>
            <w:r>
              <w:rPr>
                <w:rFonts w:hint="eastAsia" w:ascii="仿宋_GB2312" w:hAnsi="仿宋" w:eastAsia="仿宋_GB2312"/>
                <w:color w:val="auto"/>
                <w:sz w:val="24"/>
                <w:szCs w:val="24"/>
              </w:rPr>
              <w:t>14</w:t>
            </w:r>
          </w:p>
        </w:tc>
        <w:tc>
          <w:tcPr>
            <w:tcW w:w="4536" w:type="dxa"/>
          </w:tcPr>
          <w:p>
            <w:pPr>
              <w:adjustRightInd w:val="0"/>
              <w:snapToGrid w:val="0"/>
              <w:spacing w:line="240" w:lineRule="atLeast"/>
              <w:jc w:val="center"/>
              <w:rPr>
                <w:rFonts w:ascii="仿宋_GB2312" w:hAnsi="仿宋" w:eastAsia="仿宋_GB2312"/>
                <w:color w:val="auto"/>
                <w:sz w:val="24"/>
                <w:szCs w:val="24"/>
              </w:rPr>
            </w:pPr>
            <w:r>
              <w:rPr>
                <w:rFonts w:hint="eastAsia" w:ascii="仿宋_GB2312" w:hAnsi="仿宋" w:eastAsia="仿宋_GB2312"/>
                <w:color w:val="auto"/>
                <w:sz w:val="24"/>
                <w:szCs w:val="24"/>
              </w:rPr>
              <w:t>广州市花都净水有限公司官网分公司</w:t>
            </w:r>
          </w:p>
        </w:tc>
        <w:tc>
          <w:tcPr>
            <w:tcW w:w="3169" w:type="dxa"/>
            <w:vMerge w:val="continue"/>
          </w:tcPr>
          <w:p>
            <w:pPr>
              <w:adjustRightInd w:val="0"/>
              <w:snapToGrid w:val="0"/>
              <w:spacing w:line="240" w:lineRule="atLeast"/>
              <w:jc w:val="center"/>
              <w:rPr>
                <w:rFonts w:ascii="仿宋_GB2312" w:hAnsi="仿宋" w:eastAsia="仿宋_GB2312"/>
                <w:color w:val="auto"/>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817" w:type="dxa"/>
          </w:tcPr>
          <w:p>
            <w:pPr>
              <w:adjustRightInd w:val="0"/>
              <w:snapToGrid w:val="0"/>
              <w:spacing w:line="240" w:lineRule="atLeast"/>
              <w:jc w:val="center"/>
              <w:rPr>
                <w:rFonts w:ascii="仿宋_GB2312" w:hAnsi="仿宋" w:eastAsia="仿宋_GB2312"/>
                <w:color w:val="auto"/>
                <w:sz w:val="24"/>
                <w:szCs w:val="24"/>
              </w:rPr>
            </w:pPr>
            <w:r>
              <w:rPr>
                <w:rFonts w:hint="eastAsia" w:ascii="仿宋_GB2312" w:hAnsi="仿宋" w:eastAsia="仿宋_GB2312"/>
                <w:color w:val="auto"/>
                <w:sz w:val="24"/>
                <w:szCs w:val="24"/>
              </w:rPr>
              <w:t>15</w:t>
            </w:r>
          </w:p>
        </w:tc>
        <w:tc>
          <w:tcPr>
            <w:tcW w:w="4536" w:type="dxa"/>
          </w:tcPr>
          <w:p>
            <w:pPr>
              <w:adjustRightInd w:val="0"/>
              <w:snapToGrid w:val="0"/>
              <w:spacing w:line="240" w:lineRule="atLeast"/>
              <w:jc w:val="center"/>
              <w:rPr>
                <w:rFonts w:ascii="仿宋_GB2312" w:hAnsi="仿宋" w:eastAsia="仿宋_GB2312"/>
                <w:color w:val="auto"/>
                <w:sz w:val="24"/>
                <w:szCs w:val="24"/>
              </w:rPr>
            </w:pPr>
            <w:r>
              <w:rPr>
                <w:rFonts w:hint="eastAsia" w:ascii="仿宋_GB2312" w:hAnsi="仿宋" w:eastAsia="仿宋_GB2312"/>
                <w:color w:val="auto"/>
                <w:sz w:val="24"/>
                <w:szCs w:val="24"/>
              </w:rPr>
              <w:t>东风西路湖天宾馆</w:t>
            </w:r>
          </w:p>
        </w:tc>
        <w:tc>
          <w:tcPr>
            <w:tcW w:w="3169" w:type="dxa"/>
            <w:vMerge w:val="continue"/>
            <w:vAlign w:val="center"/>
          </w:tcPr>
          <w:p>
            <w:pPr>
              <w:adjustRightInd w:val="0"/>
              <w:snapToGrid w:val="0"/>
              <w:spacing w:line="240" w:lineRule="atLeast"/>
              <w:jc w:val="center"/>
              <w:rPr>
                <w:rFonts w:ascii="仿宋_GB2312" w:hAnsi="仿宋" w:eastAsia="仿宋_GB2312"/>
                <w:color w:val="auto"/>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817" w:type="dxa"/>
          </w:tcPr>
          <w:p>
            <w:pPr>
              <w:adjustRightInd w:val="0"/>
              <w:snapToGrid w:val="0"/>
              <w:spacing w:line="240" w:lineRule="atLeast"/>
              <w:jc w:val="center"/>
              <w:rPr>
                <w:rFonts w:ascii="仿宋_GB2312" w:hAnsi="仿宋" w:eastAsia="仿宋_GB2312"/>
                <w:color w:val="auto"/>
                <w:sz w:val="24"/>
                <w:szCs w:val="24"/>
              </w:rPr>
            </w:pPr>
            <w:r>
              <w:rPr>
                <w:rFonts w:hint="eastAsia" w:ascii="仿宋_GB2312" w:hAnsi="仿宋" w:eastAsia="仿宋_GB2312"/>
                <w:color w:val="auto"/>
                <w:sz w:val="24"/>
                <w:szCs w:val="24"/>
              </w:rPr>
              <w:t>16</w:t>
            </w:r>
          </w:p>
        </w:tc>
        <w:tc>
          <w:tcPr>
            <w:tcW w:w="4536" w:type="dxa"/>
          </w:tcPr>
          <w:p>
            <w:pPr>
              <w:adjustRightInd w:val="0"/>
              <w:snapToGrid w:val="0"/>
              <w:spacing w:line="240" w:lineRule="atLeast"/>
              <w:jc w:val="center"/>
              <w:rPr>
                <w:rFonts w:ascii="仿宋_GB2312" w:hAnsi="仿宋" w:eastAsia="仿宋_GB2312"/>
                <w:color w:val="auto"/>
                <w:sz w:val="24"/>
                <w:szCs w:val="24"/>
              </w:rPr>
            </w:pPr>
            <w:r>
              <w:rPr>
                <w:rFonts w:hint="eastAsia" w:ascii="仿宋_GB2312" w:hAnsi="仿宋" w:eastAsia="仿宋_GB2312"/>
                <w:color w:val="auto"/>
                <w:sz w:val="24"/>
                <w:szCs w:val="24"/>
              </w:rPr>
              <w:t>广州市海珠区环境监测站</w:t>
            </w:r>
          </w:p>
        </w:tc>
        <w:tc>
          <w:tcPr>
            <w:tcW w:w="3169" w:type="dxa"/>
            <w:vMerge w:val="restart"/>
            <w:vAlign w:val="center"/>
          </w:tcPr>
          <w:p>
            <w:pPr>
              <w:adjustRightInd w:val="0"/>
              <w:snapToGrid w:val="0"/>
              <w:spacing w:line="240" w:lineRule="atLeast"/>
              <w:jc w:val="center"/>
              <w:rPr>
                <w:rFonts w:ascii="仿宋_GB2312" w:hAnsi="仿宋" w:eastAsia="仿宋_GB2312"/>
                <w:color w:val="auto"/>
                <w:sz w:val="24"/>
                <w:szCs w:val="24"/>
              </w:rPr>
            </w:pPr>
            <w:r>
              <w:rPr>
                <w:rFonts w:hint="eastAsia" w:ascii="仿宋_GB2312" w:hAnsi="仿宋" w:eastAsia="仿宋_GB2312"/>
                <w:color w:val="auto"/>
                <w:sz w:val="24"/>
                <w:szCs w:val="24"/>
              </w:rPr>
              <w:t>点位摸查溯源</w:t>
            </w:r>
          </w:p>
          <w:p>
            <w:pPr>
              <w:adjustRightInd w:val="0"/>
              <w:snapToGrid w:val="0"/>
              <w:spacing w:line="240" w:lineRule="atLeast"/>
              <w:jc w:val="center"/>
              <w:rPr>
                <w:rFonts w:ascii="仿宋_GB2312" w:hAnsi="仿宋" w:eastAsia="仿宋_GB2312"/>
                <w:color w:val="auto"/>
                <w:sz w:val="24"/>
                <w:szCs w:val="24"/>
              </w:rPr>
            </w:pPr>
            <w:r>
              <w:rPr>
                <w:rFonts w:hint="eastAsia" w:ascii="仿宋_GB2312" w:hAnsi="仿宋" w:eastAsia="仿宋_GB2312"/>
                <w:color w:val="auto"/>
                <w:sz w:val="24"/>
                <w:szCs w:val="24"/>
              </w:rPr>
              <w:t>噪声超标录音</w:t>
            </w:r>
          </w:p>
          <w:p>
            <w:pPr>
              <w:adjustRightInd w:val="0"/>
              <w:snapToGrid w:val="0"/>
              <w:spacing w:line="240" w:lineRule="atLeast"/>
              <w:jc w:val="center"/>
              <w:rPr>
                <w:rFonts w:ascii="仿宋_GB2312" w:hAnsi="仿宋" w:eastAsia="仿宋_GB2312"/>
                <w:color w:val="auto"/>
                <w:sz w:val="24"/>
                <w:szCs w:val="24"/>
              </w:rPr>
            </w:pPr>
            <w:r>
              <w:rPr>
                <w:rFonts w:hint="eastAsia" w:ascii="仿宋_GB2312" w:hAnsi="仿宋" w:eastAsia="仿宋_GB2312"/>
                <w:color w:val="auto"/>
                <w:sz w:val="24"/>
                <w:szCs w:val="24"/>
              </w:rPr>
              <w:t>声纹识别</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817" w:type="dxa"/>
          </w:tcPr>
          <w:p>
            <w:pPr>
              <w:adjustRightInd w:val="0"/>
              <w:snapToGrid w:val="0"/>
              <w:spacing w:line="240" w:lineRule="atLeast"/>
              <w:jc w:val="center"/>
              <w:rPr>
                <w:rFonts w:ascii="仿宋_GB2312" w:hAnsi="仿宋" w:eastAsia="仿宋_GB2312"/>
                <w:color w:val="auto"/>
                <w:sz w:val="24"/>
                <w:szCs w:val="24"/>
              </w:rPr>
            </w:pPr>
            <w:r>
              <w:rPr>
                <w:rFonts w:hint="eastAsia" w:ascii="仿宋_GB2312" w:hAnsi="仿宋" w:eastAsia="仿宋_GB2312"/>
                <w:color w:val="auto"/>
                <w:sz w:val="24"/>
                <w:szCs w:val="24"/>
              </w:rPr>
              <w:t>17</w:t>
            </w:r>
          </w:p>
        </w:tc>
        <w:tc>
          <w:tcPr>
            <w:tcW w:w="4536" w:type="dxa"/>
          </w:tcPr>
          <w:p>
            <w:pPr>
              <w:adjustRightInd w:val="0"/>
              <w:snapToGrid w:val="0"/>
              <w:spacing w:line="240" w:lineRule="atLeast"/>
              <w:jc w:val="center"/>
              <w:rPr>
                <w:rFonts w:ascii="仿宋_GB2312" w:hAnsi="仿宋" w:eastAsia="仿宋_GB2312"/>
                <w:color w:val="auto"/>
                <w:sz w:val="24"/>
                <w:szCs w:val="24"/>
              </w:rPr>
            </w:pPr>
            <w:r>
              <w:rPr>
                <w:rFonts w:hint="eastAsia" w:ascii="仿宋_GB2312" w:hAnsi="仿宋" w:eastAsia="仿宋_GB2312"/>
                <w:color w:val="auto"/>
                <w:sz w:val="24"/>
                <w:szCs w:val="24"/>
              </w:rPr>
              <w:t>广州科学城会议中心</w:t>
            </w:r>
          </w:p>
        </w:tc>
        <w:tc>
          <w:tcPr>
            <w:tcW w:w="3169" w:type="dxa"/>
            <w:vMerge w:val="continue"/>
          </w:tcPr>
          <w:p>
            <w:pPr>
              <w:adjustRightInd w:val="0"/>
              <w:snapToGrid w:val="0"/>
              <w:spacing w:line="240" w:lineRule="atLeast"/>
              <w:jc w:val="center"/>
              <w:rPr>
                <w:rFonts w:ascii="仿宋_GB2312" w:hAnsi="仿宋" w:eastAsia="仿宋_GB2312"/>
                <w:color w:val="auto"/>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817" w:type="dxa"/>
          </w:tcPr>
          <w:p>
            <w:pPr>
              <w:adjustRightInd w:val="0"/>
              <w:snapToGrid w:val="0"/>
              <w:spacing w:line="240" w:lineRule="atLeast"/>
              <w:jc w:val="center"/>
              <w:rPr>
                <w:rFonts w:ascii="仿宋_GB2312" w:hAnsi="仿宋" w:eastAsia="仿宋_GB2312"/>
                <w:color w:val="auto"/>
                <w:sz w:val="24"/>
                <w:szCs w:val="24"/>
              </w:rPr>
            </w:pPr>
            <w:r>
              <w:rPr>
                <w:rFonts w:hint="eastAsia" w:ascii="仿宋_GB2312" w:hAnsi="仿宋" w:eastAsia="仿宋_GB2312"/>
                <w:color w:val="auto"/>
                <w:sz w:val="24"/>
                <w:szCs w:val="24"/>
              </w:rPr>
              <w:t>18</w:t>
            </w:r>
          </w:p>
        </w:tc>
        <w:tc>
          <w:tcPr>
            <w:tcW w:w="4536" w:type="dxa"/>
          </w:tcPr>
          <w:p>
            <w:pPr>
              <w:adjustRightInd w:val="0"/>
              <w:snapToGrid w:val="0"/>
              <w:spacing w:line="240" w:lineRule="atLeast"/>
              <w:jc w:val="center"/>
              <w:rPr>
                <w:rFonts w:ascii="仿宋_GB2312" w:hAnsi="仿宋" w:eastAsia="仿宋_GB2312"/>
                <w:color w:val="auto"/>
                <w:sz w:val="24"/>
                <w:szCs w:val="24"/>
              </w:rPr>
            </w:pPr>
            <w:r>
              <w:rPr>
                <w:rFonts w:hint="eastAsia" w:ascii="仿宋_GB2312" w:hAnsi="仿宋" w:eastAsia="仿宋_GB2312"/>
                <w:color w:val="auto"/>
                <w:sz w:val="24"/>
                <w:szCs w:val="24"/>
              </w:rPr>
              <w:t>南沙区生态环境局第七环保所</w:t>
            </w:r>
          </w:p>
        </w:tc>
        <w:tc>
          <w:tcPr>
            <w:tcW w:w="3169" w:type="dxa"/>
            <w:vMerge w:val="continue"/>
          </w:tcPr>
          <w:p>
            <w:pPr>
              <w:adjustRightInd w:val="0"/>
              <w:snapToGrid w:val="0"/>
              <w:spacing w:line="240" w:lineRule="atLeast"/>
              <w:jc w:val="center"/>
              <w:rPr>
                <w:rFonts w:ascii="仿宋_GB2312" w:hAnsi="仿宋" w:eastAsia="仿宋_GB2312"/>
                <w:color w:val="auto"/>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817" w:type="dxa"/>
          </w:tcPr>
          <w:p>
            <w:pPr>
              <w:adjustRightInd w:val="0"/>
              <w:snapToGrid w:val="0"/>
              <w:spacing w:line="240" w:lineRule="atLeast"/>
              <w:jc w:val="center"/>
              <w:rPr>
                <w:rFonts w:ascii="仿宋_GB2312" w:hAnsi="仿宋" w:eastAsia="仿宋_GB2312"/>
                <w:color w:val="auto"/>
                <w:sz w:val="24"/>
                <w:szCs w:val="24"/>
              </w:rPr>
            </w:pPr>
            <w:r>
              <w:rPr>
                <w:rFonts w:hint="eastAsia" w:ascii="仿宋_GB2312" w:hAnsi="仿宋" w:eastAsia="仿宋_GB2312"/>
                <w:color w:val="auto"/>
                <w:sz w:val="24"/>
                <w:szCs w:val="24"/>
              </w:rPr>
              <w:t>19</w:t>
            </w:r>
          </w:p>
        </w:tc>
        <w:tc>
          <w:tcPr>
            <w:tcW w:w="4536" w:type="dxa"/>
          </w:tcPr>
          <w:p>
            <w:pPr>
              <w:adjustRightInd w:val="0"/>
              <w:snapToGrid w:val="0"/>
              <w:spacing w:line="240" w:lineRule="atLeast"/>
              <w:jc w:val="center"/>
              <w:rPr>
                <w:rFonts w:ascii="仿宋_GB2312" w:hAnsi="仿宋" w:eastAsia="仿宋_GB2312"/>
                <w:color w:val="auto"/>
                <w:sz w:val="24"/>
                <w:szCs w:val="24"/>
              </w:rPr>
            </w:pPr>
            <w:r>
              <w:rPr>
                <w:rFonts w:hint="eastAsia" w:ascii="仿宋_GB2312" w:hAnsi="仿宋" w:eastAsia="仿宋_GB2312"/>
                <w:color w:val="auto"/>
                <w:sz w:val="24"/>
                <w:szCs w:val="24"/>
              </w:rPr>
              <w:t>美丽豪酒店</w:t>
            </w:r>
          </w:p>
        </w:tc>
        <w:tc>
          <w:tcPr>
            <w:tcW w:w="3169" w:type="dxa"/>
            <w:vMerge w:val="continue"/>
          </w:tcPr>
          <w:p>
            <w:pPr>
              <w:adjustRightInd w:val="0"/>
              <w:snapToGrid w:val="0"/>
              <w:spacing w:line="240" w:lineRule="atLeast"/>
              <w:jc w:val="center"/>
              <w:rPr>
                <w:rFonts w:ascii="仿宋_GB2312" w:hAnsi="仿宋" w:eastAsia="仿宋_GB2312"/>
                <w:color w:val="auto"/>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817" w:type="dxa"/>
          </w:tcPr>
          <w:p>
            <w:pPr>
              <w:adjustRightInd w:val="0"/>
              <w:snapToGrid w:val="0"/>
              <w:spacing w:line="240" w:lineRule="atLeast"/>
              <w:jc w:val="center"/>
              <w:rPr>
                <w:rFonts w:ascii="仿宋_GB2312" w:hAnsi="仿宋" w:eastAsia="仿宋_GB2312"/>
                <w:color w:val="auto"/>
                <w:sz w:val="24"/>
                <w:szCs w:val="24"/>
              </w:rPr>
            </w:pPr>
            <w:r>
              <w:rPr>
                <w:rFonts w:hint="eastAsia" w:ascii="仿宋_GB2312" w:hAnsi="仿宋" w:eastAsia="仿宋_GB2312"/>
                <w:color w:val="auto"/>
                <w:sz w:val="24"/>
                <w:szCs w:val="24"/>
              </w:rPr>
              <w:t>20</w:t>
            </w:r>
          </w:p>
        </w:tc>
        <w:tc>
          <w:tcPr>
            <w:tcW w:w="4536" w:type="dxa"/>
          </w:tcPr>
          <w:p>
            <w:pPr>
              <w:adjustRightInd w:val="0"/>
              <w:snapToGrid w:val="0"/>
              <w:spacing w:line="240" w:lineRule="atLeast"/>
              <w:jc w:val="center"/>
              <w:rPr>
                <w:rFonts w:ascii="仿宋_GB2312" w:hAnsi="仿宋" w:eastAsia="仿宋_GB2312"/>
                <w:color w:val="auto"/>
                <w:sz w:val="24"/>
                <w:szCs w:val="24"/>
              </w:rPr>
            </w:pPr>
            <w:r>
              <w:rPr>
                <w:rFonts w:hint="eastAsia" w:ascii="仿宋_GB2312" w:hAnsi="仿宋" w:eastAsia="仿宋_GB2312"/>
                <w:color w:val="auto"/>
                <w:sz w:val="24"/>
                <w:szCs w:val="24"/>
              </w:rPr>
              <w:t>光明软件楼北楼</w:t>
            </w:r>
          </w:p>
        </w:tc>
        <w:tc>
          <w:tcPr>
            <w:tcW w:w="3169" w:type="dxa"/>
            <w:vMerge w:val="continue"/>
          </w:tcPr>
          <w:p>
            <w:pPr>
              <w:adjustRightInd w:val="0"/>
              <w:snapToGrid w:val="0"/>
              <w:spacing w:line="240" w:lineRule="atLeast"/>
              <w:jc w:val="center"/>
              <w:rPr>
                <w:rFonts w:ascii="仿宋_GB2312" w:hAnsi="仿宋" w:eastAsia="仿宋_GB2312"/>
                <w:color w:val="auto"/>
                <w:sz w:val="24"/>
                <w:szCs w:val="24"/>
              </w:rPr>
            </w:pPr>
          </w:p>
        </w:tc>
      </w:tr>
    </w:tbl>
    <w:p>
      <w:pPr>
        <w:adjustRightInd w:val="0"/>
        <w:snapToGrid w:val="0"/>
        <w:spacing w:line="240" w:lineRule="atLeast"/>
        <w:rPr>
          <w:rFonts w:hint="eastAsia" w:ascii="楷体" w:hAnsi="楷体" w:eastAsia="楷体"/>
          <w:color w:val="auto"/>
          <w:szCs w:val="32"/>
        </w:rPr>
      </w:pPr>
      <w:r>
        <w:rPr>
          <w:rFonts w:hint="eastAsia" w:ascii="楷体" w:hAnsi="楷体" w:eastAsia="楷体"/>
          <w:color w:val="auto"/>
          <w:szCs w:val="32"/>
        </w:rPr>
        <w:t>注：目前广州市噪声常规监测重点网格点位正在优化调整中，最终点位与表中有出入，届时以甲方提供的为准。</w:t>
      </w:r>
    </w:p>
    <w:p>
      <w:pPr>
        <w:adjustRightInd w:val="0"/>
        <w:snapToGrid w:val="0"/>
        <w:spacing w:line="590" w:lineRule="exact"/>
        <w:ind w:firstLine="560" w:firstLineChars="200"/>
        <w:rPr>
          <w:rFonts w:ascii="仿宋_GB2312" w:hAnsi="仿宋_GB2312" w:eastAsia="仿宋_GB2312" w:cs="仿宋_GB2312"/>
          <w:color w:val="auto"/>
          <w:sz w:val="28"/>
        </w:rPr>
      </w:pPr>
      <w:r>
        <w:rPr>
          <w:rFonts w:hint="eastAsia" w:ascii="仿宋_GB2312" w:hAnsi="仿宋_GB2312" w:eastAsia="仿宋_GB2312" w:cs="仿宋_GB2312"/>
          <w:color w:val="auto"/>
          <w:sz w:val="28"/>
        </w:rPr>
        <w:t>2、设备参数要求</w:t>
      </w:r>
    </w:p>
    <w:p>
      <w:pPr>
        <w:adjustRightInd w:val="0"/>
        <w:snapToGrid w:val="0"/>
        <w:spacing w:line="590" w:lineRule="exact"/>
        <w:ind w:firstLine="560" w:firstLineChars="200"/>
        <w:rPr>
          <w:rFonts w:ascii="仿宋_GB2312" w:hAnsi="仿宋_GB2312" w:eastAsia="仿宋_GB2312" w:cs="仿宋_GB2312"/>
          <w:color w:val="auto"/>
          <w:sz w:val="28"/>
        </w:rPr>
      </w:pPr>
      <w:r>
        <w:rPr>
          <w:rFonts w:hint="eastAsia" w:ascii="仿宋_GB2312" w:hAnsi="仿宋_GB2312" w:eastAsia="仿宋_GB2312" w:cs="仿宋_GB2312"/>
          <w:color w:val="auto"/>
          <w:sz w:val="28"/>
        </w:rPr>
        <w:t>（1）自动监测仪技术指标应满足《环境噪声自动监测系统技术要求》（HJ 907-2017）的相关要求，声学性能应符合《电声学 声级计 第1部分：规范》（GB/T3785.1-2010）中Ⅰ型仪器的要求。</w:t>
      </w:r>
    </w:p>
    <w:p>
      <w:pPr>
        <w:adjustRightInd w:val="0"/>
        <w:snapToGrid w:val="0"/>
        <w:spacing w:line="590" w:lineRule="exact"/>
        <w:ind w:firstLine="560" w:firstLineChars="200"/>
        <w:rPr>
          <w:rFonts w:ascii="仿宋_GB2312" w:hAnsi="仿宋_GB2312" w:eastAsia="仿宋_GB2312" w:cs="仿宋_GB2312"/>
          <w:color w:val="auto"/>
          <w:sz w:val="28"/>
        </w:rPr>
      </w:pPr>
      <w:r>
        <w:rPr>
          <w:rFonts w:hint="eastAsia" w:ascii="仿宋_GB2312" w:hAnsi="仿宋_GB2312" w:eastAsia="仿宋_GB2312" w:cs="仿宋_GB2312"/>
          <w:color w:val="auto"/>
          <w:sz w:val="28"/>
        </w:rPr>
        <w:t>（2）自动监测仪对噪声采样频率应不小于48kHz，具备监测和上传每秒等效声级的功能。</w:t>
      </w:r>
    </w:p>
    <w:p>
      <w:pPr>
        <w:adjustRightInd w:val="0"/>
        <w:snapToGrid w:val="0"/>
        <w:spacing w:line="590" w:lineRule="exact"/>
        <w:ind w:firstLine="560" w:firstLineChars="200"/>
        <w:rPr>
          <w:rFonts w:ascii="仿宋_GB2312" w:hAnsi="仿宋_GB2312" w:eastAsia="仿宋_GB2312" w:cs="仿宋_GB2312"/>
          <w:color w:val="auto"/>
          <w:sz w:val="28"/>
        </w:rPr>
      </w:pPr>
      <w:r>
        <w:rPr>
          <w:rFonts w:hint="eastAsia" w:ascii="仿宋_GB2312" w:hAnsi="仿宋_GB2312" w:eastAsia="仿宋_GB2312" w:cs="仿宋_GB2312"/>
          <w:color w:val="auto"/>
          <w:sz w:val="28"/>
        </w:rPr>
        <w:t>（3）自动监测仪应具备超标录音及远程回放功能。</w:t>
      </w:r>
    </w:p>
    <w:p>
      <w:pPr>
        <w:adjustRightInd w:val="0"/>
        <w:snapToGrid w:val="0"/>
        <w:spacing w:line="590" w:lineRule="exact"/>
        <w:ind w:firstLine="560" w:firstLineChars="200"/>
        <w:rPr>
          <w:rFonts w:ascii="仿宋_GB2312" w:hAnsi="仿宋_GB2312" w:eastAsia="仿宋_GB2312" w:cs="仿宋_GB2312"/>
          <w:color w:val="auto"/>
          <w:sz w:val="28"/>
        </w:rPr>
      </w:pPr>
      <w:r>
        <w:rPr>
          <w:rFonts w:hint="eastAsia" w:ascii="仿宋_GB2312" w:hAnsi="仿宋_GB2312" w:eastAsia="仿宋_GB2312" w:cs="仿宋_GB2312"/>
          <w:color w:val="auto"/>
          <w:sz w:val="28"/>
        </w:rPr>
        <w:t>（4）根据天气情况选配气象监测单元，具备标记分钟风速、分钟降水等信息的功能。</w:t>
      </w:r>
    </w:p>
    <w:p>
      <w:pPr>
        <w:ind w:firstLine="560" w:firstLineChars="200"/>
        <w:rPr>
          <w:rFonts w:ascii="仿宋_GB2312" w:hAnsi="仿宋_GB2312" w:eastAsia="仿宋_GB2312" w:cs="仿宋_GB2312"/>
          <w:color w:val="auto"/>
        </w:rPr>
      </w:pPr>
      <w:r>
        <w:rPr>
          <w:rFonts w:hint="eastAsia" w:ascii="仿宋_GB2312" w:hAnsi="仿宋_GB2312" w:eastAsia="仿宋_GB2312" w:cs="仿宋_GB2312"/>
          <w:color w:val="auto"/>
          <w:sz w:val="28"/>
        </w:rPr>
        <w:t>（5）声纹织别设备典型自然声识别准确度达到80%以上，并通过第三方检测。</w:t>
      </w:r>
    </w:p>
    <w:p>
      <w:pPr>
        <w:adjustRightInd w:val="0"/>
        <w:snapToGrid w:val="0"/>
        <w:spacing w:line="590" w:lineRule="exact"/>
        <w:ind w:firstLine="560" w:firstLineChars="200"/>
        <w:rPr>
          <w:rFonts w:ascii="仿宋_GB2312" w:hAnsi="仿宋_GB2312" w:eastAsia="仿宋_GB2312" w:cs="仿宋_GB2312"/>
          <w:color w:val="auto"/>
          <w:sz w:val="28"/>
        </w:rPr>
      </w:pPr>
      <w:r>
        <w:rPr>
          <w:rFonts w:hint="eastAsia" w:ascii="仿宋_GB2312" w:hAnsi="仿宋_GB2312" w:eastAsia="仿宋_GB2312" w:cs="仿宋_GB2312"/>
          <w:color w:val="auto"/>
          <w:sz w:val="28"/>
        </w:rPr>
        <w:t>3、质控要求</w:t>
      </w:r>
    </w:p>
    <w:p>
      <w:pPr>
        <w:adjustRightInd w:val="0"/>
        <w:snapToGrid w:val="0"/>
        <w:spacing w:line="590" w:lineRule="exact"/>
        <w:ind w:firstLine="560" w:firstLineChars="200"/>
        <w:rPr>
          <w:rFonts w:ascii="仿宋_GB2312" w:hAnsi="仿宋_GB2312" w:eastAsia="仿宋_GB2312" w:cs="仿宋_GB2312"/>
          <w:color w:val="auto"/>
          <w:sz w:val="28"/>
        </w:rPr>
      </w:pPr>
      <w:r>
        <w:rPr>
          <w:rFonts w:hint="eastAsia" w:ascii="仿宋_GB2312" w:hAnsi="仿宋_GB2312" w:eastAsia="仿宋_GB2312" w:cs="仿宋_GB2312"/>
          <w:color w:val="auto"/>
          <w:sz w:val="28"/>
        </w:rPr>
        <w:t>自动监测设备开展采样前必须校准并提供可溯源的仪器校准记录。</w:t>
      </w:r>
    </w:p>
    <w:p>
      <w:pPr>
        <w:adjustRightInd w:val="0"/>
        <w:snapToGrid w:val="0"/>
        <w:spacing w:line="590" w:lineRule="exact"/>
        <w:ind w:firstLine="560" w:firstLineChars="200"/>
        <w:rPr>
          <w:rFonts w:ascii="仿宋_GB2312" w:hAnsi="仿宋" w:eastAsia="仿宋_GB2312"/>
          <w:color w:val="auto"/>
          <w:sz w:val="28"/>
          <w:szCs w:val="32"/>
        </w:rPr>
      </w:pPr>
      <w:r>
        <w:rPr>
          <w:rFonts w:hint="eastAsia" w:ascii="仿宋" w:hAnsi="仿宋" w:eastAsia="仿宋"/>
          <w:color w:val="auto"/>
          <w:sz w:val="28"/>
        </w:rPr>
        <w:t>4、</w:t>
      </w:r>
      <w:r>
        <w:rPr>
          <w:rFonts w:hint="eastAsia" w:ascii="仿宋_GB2312" w:hAnsi="仿宋" w:eastAsia="仿宋_GB2312"/>
          <w:color w:val="auto"/>
          <w:sz w:val="28"/>
          <w:szCs w:val="32"/>
        </w:rPr>
        <w:t>进度要求</w:t>
      </w:r>
    </w:p>
    <w:p>
      <w:pPr>
        <w:adjustRightInd w:val="0"/>
        <w:snapToGrid w:val="0"/>
        <w:spacing w:line="590" w:lineRule="exact"/>
        <w:ind w:firstLine="560" w:firstLineChars="200"/>
        <w:rPr>
          <w:rFonts w:ascii="仿宋_GB2312" w:hAnsi="仿宋" w:eastAsia="仿宋_GB2312"/>
          <w:color w:val="auto"/>
          <w:sz w:val="28"/>
          <w:szCs w:val="32"/>
        </w:rPr>
      </w:pPr>
      <w:r>
        <w:rPr>
          <w:rFonts w:hint="eastAsia" w:ascii="仿宋_GB2312" w:hAnsi="仿宋" w:eastAsia="仿宋_GB2312"/>
          <w:color w:val="auto"/>
          <w:sz w:val="28"/>
          <w:szCs w:val="32"/>
        </w:rPr>
        <w:t>（1）</w:t>
      </w:r>
      <w:r>
        <w:rPr>
          <w:rFonts w:hint="eastAsia" w:ascii="仿宋_GB2312" w:hAnsi="仿宋" w:eastAsia="仿宋_GB2312"/>
          <w:color w:val="auto"/>
          <w:sz w:val="28"/>
          <w:szCs w:val="32"/>
        </w:rPr>
        <w:t>6月2日</w:t>
      </w:r>
      <w:r>
        <w:rPr>
          <w:rFonts w:hint="eastAsia" w:ascii="仿宋_GB2312" w:hAnsi="仿宋" w:eastAsia="仿宋_GB2312"/>
          <w:color w:val="auto"/>
          <w:sz w:val="28"/>
          <w:szCs w:val="32"/>
        </w:rPr>
        <w:t>前完成20个点位的摸查溯源工作和</w:t>
      </w:r>
      <w:r>
        <w:rPr>
          <w:rFonts w:hint="eastAsia" w:ascii="仿宋_GB2312" w:hAnsi="仿宋" w:eastAsia="仿宋_GB2312"/>
          <w:color w:val="auto"/>
          <w:sz w:val="28"/>
          <w:szCs w:val="32"/>
        </w:rPr>
        <w:t>15个点位</w:t>
      </w:r>
      <w:r>
        <w:rPr>
          <w:rFonts w:hint="eastAsia" w:ascii="仿宋_GB2312" w:hAnsi="仿宋" w:eastAsia="仿宋_GB2312"/>
          <w:color w:val="auto"/>
          <w:sz w:val="28"/>
          <w:szCs w:val="32"/>
        </w:rPr>
        <w:t>的采样工作。</w:t>
      </w:r>
    </w:p>
    <w:p>
      <w:pPr>
        <w:adjustRightInd w:val="0"/>
        <w:snapToGrid w:val="0"/>
        <w:spacing w:line="590" w:lineRule="exact"/>
        <w:ind w:firstLine="560" w:firstLineChars="200"/>
        <w:rPr>
          <w:rFonts w:ascii="仿宋_GB2312" w:hAnsi="仿宋" w:eastAsia="仿宋_GB2312"/>
          <w:color w:val="auto"/>
          <w:sz w:val="28"/>
          <w:szCs w:val="32"/>
        </w:rPr>
      </w:pPr>
      <w:r>
        <w:rPr>
          <w:rFonts w:hint="eastAsia" w:ascii="仿宋_GB2312" w:hAnsi="仿宋" w:eastAsia="仿宋_GB2312"/>
          <w:color w:val="auto"/>
          <w:sz w:val="28"/>
          <w:szCs w:val="32"/>
        </w:rPr>
        <w:t>（2）</w:t>
      </w:r>
      <w:r>
        <w:rPr>
          <w:rFonts w:hint="eastAsia" w:ascii="仿宋_GB2312" w:hAnsi="仿宋" w:eastAsia="仿宋_GB2312"/>
          <w:color w:val="auto"/>
          <w:sz w:val="28"/>
          <w:szCs w:val="32"/>
        </w:rPr>
        <w:t>6月30日</w:t>
      </w:r>
      <w:r>
        <w:rPr>
          <w:rFonts w:hint="eastAsia" w:ascii="仿宋_GB2312" w:hAnsi="仿宋" w:eastAsia="仿宋_GB2312"/>
          <w:color w:val="auto"/>
          <w:sz w:val="28"/>
          <w:szCs w:val="32"/>
        </w:rPr>
        <w:t>前完成监测溯源分析、声纹识别报告和专家评审。</w:t>
      </w:r>
    </w:p>
    <w:p>
      <w:pPr>
        <w:adjustRightInd w:val="0"/>
        <w:snapToGrid w:val="0"/>
        <w:spacing w:line="590" w:lineRule="exact"/>
        <w:ind w:firstLine="560" w:firstLineChars="200"/>
        <w:rPr>
          <w:rFonts w:ascii="仿宋_GB2312" w:hAnsi="仿宋" w:eastAsia="仿宋_GB2312"/>
          <w:b/>
          <w:color w:val="auto"/>
          <w:sz w:val="28"/>
          <w:szCs w:val="32"/>
        </w:rPr>
      </w:pPr>
      <w:r>
        <w:rPr>
          <w:rFonts w:hint="eastAsia" w:ascii="仿宋_GB2312" w:hAnsi="仿宋" w:eastAsia="仿宋_GB2312"/>
          <w:b/>
          <w:color w:val="auto"/>
          <w:sz w:val="28"/>
          <w:szCs w:val="32"/>
        </w:rPr>
        <w:t>（四）服务人员要求</w:t>
      </w:r>
    </w:p>
    <w:p>
      <w:pPr>
        <w:adjustRightInd w:val="0"/>
        <w:snapToGrid w:val="0"/>
        <w:spacing w:line="590" w:lineRule="exact"/>
        <w:ind w:firstLine="560" w:firstLineChars="200"/>
        <w:rPr>
          <w:rFonts w:ascii="仿宋_GB2312" w:hAnsi="仿宋" w:eastAsia="仿宋_GB2312"/>
          <w:color w:val="auto"/>
          <w:sz w:val="28"/>
          <w:szCs w:val="32"/>
        </w:rPr>
      </w:pPr>
      <w:r>
        <w:rPr>
          <w:rFonts w:hint="eastAsia" w:ascii="仿宋_GB2312" w:hAnsi="仿宋" w:eastAsia="仿宋_GB2312"/>
          <w:color w:val="auto"/>
          <w:sz w:val="28"/>
          <w:szCs w:val="32"/>
        </w:rPr>
        <w:t>1</w:t>
      </w:r>
      <w:r>
        <w:rPr>
          <w:rFonts w:hint="eastAsia" w:eastAsia="仿宋_GB2312"/>
          <w:color w:val="auto"/>
          <w:sz w:val="28"/>
          <w:szCs w:val="32"/>
        </w:rPr>
        <w:t>、</w:t>
      </w:r>
      <w:r>
        <w:rPr>
          <w:rFonts w:hint="eastAsia" w:ascii="仿宋_GB2312" w:hAnsi="仿宋" w:eastAsia="仿宋_GB2312"/>
          <w:color w:val="auto"/>
          <w:sz w:val="28"/>
          <w:szCs w:val="32"/>
        </w:rPr>
        <w:t>人员资质</w:t>
      </w:r>
    </w:p>
    <w:p>
      <w:pPr>
        <w:adjustRightInd w:val="0"/>
        <w:snapToGrid w:val="0"/>
        <w:spacing w:line="590" w:lineRule="exact"/>
        <w:ind w:firstLine="560" w:firstLineChars="200"/>
        <w:rPr>
          <w:rFonts w:ascii="仿宋_GB2312" w:hAnsi="仿宋" w:eastAsia="仿宋_GB2312"/>
          <w:color w:val="auto"/>
          <w:sz w:val="28"/>
          <w:szCs w:val="32"/>
        </w:rPr>
      </w:pPr>
      <w:r>
        <w:rPr>
          <w:rFonts w:hint="eastAsia" w:ascii="仿宋_GB2312" w:hAnsi="仿宋" w:eastAsia="仿宋_GB2312"/>
          <w:color w:val="auto"/>
          <w:sz w:val="28"/>
          <w:szCs w:val="32"/>
        </w:rPr>
        <w:t>（1）技术负责人具有声学相关专业及博士或以上学历背景，具有正高级工程师。</w:t>
      </w:r>
    </w:p>
    <w:p>
      <w:pPr>
        <w:adjustRightInd w:val="0"/>
        <w:snapToGrid w:val="0"/>
        <w:spacing w:line="590" w:lineRule="exact"/>
        <w:ind w:firstLine="560" w:firstLineChars="200"/>
        <w:rPr>
          <w:rFonts w:ascii="仿宋_GB2312" w:hAnsi="仿宋" w:eastAsia="仿宋_GB2312"/>
          <w:color w:val="auto"/>
          <w:sz w:val="28"/>
          <w:szCs w:val="32"/>
        </w:rPr>
      </w:pPr>
      <w:r>
        <w:rPr>
          <w:rFonts w:hint="eastAsia" w:ascii="仿宋_GB2312" w:hAnsi="仿宋" w:eastAsia="仿宋_GB2312"/>
          <w:color w:val="auto"/>
          <w:sz w:val="28"/>
          <w:szCs w:val="32"/>
        </w:rPr>
        <w:t>（2）团队成员不少于15人，高级工程师2名以上，持有噪声监测与治理相关培训合格证。</w:t>
      </w:r>
    </w:p>
    <w:p>
      <w:pPr>
        <w:adjustRightInd w:val="0"/>
        <w:snapToGrid w:val="0"/>
        <w:spacing w:line="590" w:lineRule="exact"/>
        <w:ind w:firstLine="560" w:firstLineChars="200"/>
        <w:rPr>
          <w:rFonts w:ascii="仿宋_GB2312" w:hAnsi="仿宋" w:eastAsia="仿宋_GB2312"/>
          <w:color w:val="auto"/>
          <w:sz w:val="28"/>
          <w:szCs w:val="32"/>
        </w:rPr>
      </w:pPr>
      <w:r>
        <w:rPr>
          <w:rFonts w:hint="eastAsia" w:ascii="仿宋_GB2312" w:hAnsi="仿宋" w:eastAsia="仿宋_GB2312"/>
          <w:color w:val="auto"/>
          <w:sz w:val="28"/>
          <w:szCs w:val="32"/>
        </w:rPr>
        <w:t>2、综合能力要求（1）具有噪声自动监测研发专业技术团队，具备噪声自动监测与声源识别、设备研发设计能力；</w:t>
      </w:r>
    </w:p>
    <w:p>
      <w:pPr>
        <w:adjustRightInd w:val="0"/>
        <w:snapToGrid w:val="0"/>
        <w:spacing w:line="590" w:lineRule="exact"/>
        <w:ind w:firstLine="560" w:firstLineChars="200"/>
        <w:rPr>
          <w:rFonts w:ascii="仿宋_GB2312" w:hAnsi="仿宋" w:eastAsia="仿宋_GB2312"/>
          <w:color w:val="auto"/>
          <w:sz w:val="28"/>
          <w:szCs w:val="32"/>
        </w:rPr>
      </w:pPr>
      <w:r>
        <w:rPr>
          <w:rFonts w:hint="eastAsia" w:ascii="仿宋_GB2312" w:hAnsi="仿宋" w:eastAsia="仿宋_GB2312"/>
          <w:color w:val="auto"/>
          <w:sz w:val="28"/>
          <w:szCs w:val="32"/>
        </w:rPr>
        <w:t>（2）熟悉该项目的数据处理和报告编制等专业技术，有开展过同类型业务经历，提供报告样例。</w:t>
      </w:r>
    </w:p>
    <w:p>
      <w:pPr>
        <w:adjustRightInd w:val="0"/>
        <w:snapToGrid w:val="0"/>
        <w:spacing w:line="590" w:lineRule="exact"/>
        <w:rPr>
          <w:rFonts w:ascii="宋体" w:hAnsi="宋体" w:eastAsia="宋体"/>
          <w:b/>
          <w:color w:val="auto"/>
          <w:sz w:val="32"/>
        </w:rPr>
      </w:pPr>
      <w:r>
        <w:rPr>
          <w:rFonts w:hint="eastAsia" w:ascii="宋体" w:hAnsi="宋体" w:eastAsia="宋体"/>
          <w:b/>
          <w:color w:val="auto"/>
          <w:sz w:val="32"/>
        </w:rPr>
        <w:t>三、商务要求</w:t>
      </w:r>
    </w:p>
    <w:p>
      <w:pPr>
        <w:adjustRightInd w:val="0"/>
        <w:snapToGrid w:val="0"/>
        <w:spacing w:line="590" w:lineRule="exact"/>
        <w:ind w:firstLine="560" w:firstLineChars="200"/>
        <w:rPr>
          <w:rFonts w:ascii="仿宋_GB2312" w:hAnsi="仿宋" w:eastAsia="仿宋_GB2312"/>
          <w:b/>
          <w:color w:val="auto"/>
          <w:sz w:val="28"/>
          <w:szCs w:val="32"/>
        </w:rPr>
      </w:pPr>
      <w:r>
        <w:rPr>
          <w:rFonts w:hint="eastAsia" w:ascii="仿宋_GB2312" w:hAnsi="仿宋" w:eastAsia="仿宋_GB2312"/>
          <w:b/>
          <w:color w:val="auto"/>
          <w:sz w:val="28"/>
          <w:szCs w:val="32"/>
        </w:rPr>
        <w:t>（一）标的提供的时间</w:t>
      </w:r>
    </w:p>
    <w:p>
      <w:pPr>
        <w:adjustRightInd w:val="0"/>
        <w:snapToGrid w:val="0"/>
        <w:spacing w:line="590" w:lineRule="exact"/>
        <w:ind w:firstLine="560" w:firstLineChars="200"/>
        <w:rPr>
          <w:rFonts w:ascii="仿宋_GB2312" w:hAnsi="仿宋" w:eastAsia="仿宋_GB2312"/>
          <w:color w:val="auto"/>
          <w:sz w:val="28"/>
          <w:szCs w:val="32"/>
        </w:rPr>
      </w:pPr>
      <w:r>
        <w:rPr>
          <w:rFonts w:hint="eastAsia" w:ascii="仿宋_GB2312" w:hAnsi="仿宋" w:eastAsia="仿宋_GB2312"/>
          <w:color w:val="auto"/>
          <w:sz w:val="28"/>
          <w:szCs w:val="32"/>
        </w:rPr>
        <w:t>合同签订后至</w:t>
      </w:r>
      <w:r>
        <w:rPr>
          <w:rFonts w:hint="eastAsia" w:ascii="仿宋_GB2312" w:hAnsi="仿宋" w:eastAsia="仿宋_GB2312"/>
          <w:color w:val="auto"/>
          <w:sz w:val="28"/>
          <w:szCs w:val="32"/>
        </w:rPr>
        <w:t>2023年6月30日</w:t>
      </w:r>
    </w:p>
    <w:p>
      <w:pPr>
        <w:adjustRightInd w:val="0"/>
        <w:snapToGrid w:val="0"/>
        <w:spacing w:line="590" w:lineRule="exact"/>
        <w:ind w:firstLine="560" w:firstLineChars="200"/>
        <w:rPr>
          <w:rFonts w:ascii="仿宋_GB2312" w:hAnsi="仿宋" w:eastAsia="仿宋_GB2312"/>
          <w:b/>
          <w:color w:val="auto"/>
          <w:sz w:val="28"/>
          <w:szCs w:val="32"/>
        </w:rPr>
      </w:pPr>
      <w:r>
        <w:rPr>
          <w:rFonts w:hint="eastAsia" w:ascii="仿宋_GB2312" w:hAnsi="仿宋" w:eastAsia="仿宋_GB2312"/>
          <w:b/>
          <w:color w:val="auto"/>
          <w:sz w:val="28"/>
          <w:szCs w:val="32"/>
        </w:rPr>
        <w:t>（二）合同履行期限</w:t>
      </w:r>
    </w:p>
    <w:p>
      <w:pPr>
        <w:adjustRightInd w:val="0"/>
        <w:snapToGrid w:val="0"/>
        <w:spacing w:line="590" w:lineRule="exact"/>
        <w:ind w:firstLine="560" w:firstLineChars="200"/>
        <w:rPr>
          <w:rFonts w:ascii="仿宋_GB2312" w:hAnsi="仿宋" w:eastAsia="仿宋_GB2312"/>
          <w:color w:val="auto"/>
          <w:sz w:val="28"/>
          <w:szCs w:val="32"/>
        </w:rPr>
      </w:pPr>
      <w:r>
        <w:rPr>
          <w:rFonts w:hint="eastAsia" w:ascii="仿宋_GB2312" w:hAnsi="仿宋" w:eastAsia="仿宋_GB2312"/>
          <w:color w:val="auto"/>
          <w:sz w:val="28"/>
          <w:szCs w:val="32"/>
        </w:rPr>
        <w:t>2023年6月30日前</w:t>
      </w:r>
    </w:p>
    <w:p>
      <w:pPr>
        <w:adjustRightInd w:val="0"/>
        <w:snapToGrid w:val="0"/>
        <w:spacing w:line="590" w:lineRule="exact"/>
        <w:ind w:firstLine="560" w:firstLineChars="200"/>
        <w:rPr>
          <w:rFonts w:ascii="仿宋_GB2312" w:hAnsi="仿宋" w:eastAsia="仿宋_GB2312"/>
          <w:b/>
          <w:color w:val="auto"/>
          <w:sz w:val="28"/>
          <w:szCs w:val="32"/>
        </w:rPr>
      </w:pPr>
      <w:r>
        <w:rPr>
          <w:rFonts w:hint="eastAsia" w:ascii="仿宋_GB2312" w:hAnsi="仿宋" w:eastAsia="仿宋_GB2312"/>
          <w:b/>
          <w:color w:val="auto"/>
          <w:sz w:val="28"/>
          <w:szCs w:val="32"/>
        </w:rPr>
        <w:t>（三）标的提供的地点</w:t>
      </w:r>
    </w:p>
    <w:p>
      <w:pPr>
        <w:adjustRightInd w:val="0"/>
        <w:snapToGrid w:val="0"/>
        <w:spacing w:line="590" w:lineRule="exact"/>
        <w:ind w:firstLine="560" w:firstLineChars="200"/>
        <w:rPr>
          <w:rFonts w:ascii="仿宋_GB2312" w:hAnsi="仿宋" w:eastAsia="仿宋_GB2312"/>
          <w:color w:val="auto"/>
          <w:sz w:val="28"/>
          <w:szCs w:val="32"/>
        </w:rPr>
      </w:pPr>
      <w:r>
        <w:rPr>
          <w:rFonts w:hint="eastAsia" w:ascii="仿宋_GB2312" w:hAnsi="仿宋" w:eastAsia="仿宋_GB2312"/>
          <w:color w:val="auto"/>
          <w:sz w:val="28"/>
          <w:szCs w:val="32"/>
        </w:rPr>
        <w:t>广州市内采购人指定地点。</w:t>
      </w:r>
    </w:p>
    <w:p>
      <w:pPr>
        <w:adjustRightInd w:val="0"/>
        <w:snapToGrid w:val="0"/>
        <w:spacing w:line="590" w:lineRule="exact"/>
        <w:ind w:firstLine="560" w:firstLineChars="200"/>
        <w:rPr>
          <w:rFonts w:ascii="仿宋_GB2312" w:hAnsi="仿宋" w:eastAsia="仿宋_GB2312"/>
          <w:b/>
          <w:color w:val="auto"/>
          <w:sz w:val="28"/>
          <w:szCs w:val="32"/>
        </w:rPr>
      </w:pPr>
      <w:r>
        <w:rPr>
          <w:rFonts w:hint="eastAsia" w:ascii="仿宋_GB2312" w:hAnsi="仿宋" w:eastAsia="仿宋_GB2312"/>
          <w:b/>
          <w:color w:val="auto"/>
          <w:sz w:val="28"/>
          <w:szCs w:val="32"/>
        </w:rPr>
        <w:t>（四）采购资金支付</w:t>
      </w:r>
    </w:p>
    <w:p>
      <w:pPr>
        <w:adjustRightInd w:val="0"/>
        <w:snapToGrid w:val="0"/>
        <w:spacing w:line="590" w:lineRule="exact"/>
        <w:ind w:left="16" w:leftChars="8" w:firstLine="621" w:firstLineChars="222"/>
        <w:rPr>
          <w:rFonts w:ascii="仿宋_GB2312" w:hAnsi="仿宋" w:eastAsia="仿宋_GB2312"/>
          <w:color w:val="auto"/>
          <w:sz w:val="28"/>
          <w:szCs w:val="32"/>
        </w:rPr>
      </w:pPr>
      <w:r>
        <w:rPr>
          <w:rFonts w:hint="eastAsia" w:ascii="仿宋_GB2312" w:hAnsi="仿宋" w:eastAsia="仿宋_GB2312"/>
          <w:color w:val="auto"/>
          <w:sz w:val="28"/>
          <w:szCs w:val="32"/>
        </w:rPr>
        <w:t>1期：合同签订并收到发票后，于10个工作日内支付合同总额50%的款项。</w:t>
      </w:r>
    </w:p>
    <w:p>
      <w:pPr>
        <w:adjustRightInd w:val="0"/>
        <w:snapToGrid w:val="0"/>
        <w:spacing w:line="590" w:lineRule="exact"/>
        <w:ind w:left="16" w:leftChars="8" w:firstLine="621" w:firstLineChars="222"/>
        <w:rPr>
          <w:rFonts w:ascii="仿宋_GB2312" w:hAnsi="仿宋" w:eastAsia="仿宋_GB2312"/>
          <w:color w:val="auto"/>
          <w:sz w:val="28"/>
          <w:szCs w:val="32"/>
        </w:rPr>
      </w:pPr>
      <w:r>
        <w:rPr>
          <w:rFonts w:hint="eastAsia" w:ascii="仿宋_GB2312" w:hAnsi="仿宋" w:eastAsia="仿宋_GB2312"/>
          <w:color w:val="auto"/>
          <w:sz w:val="28"/>
          <w:szCs w:val="32"/>
        </w:rPr>
        <w:t>2期：提交阶段工作材料并收到发票后，于</w:t>
      </w:r>
      <w:r>
        <w:rPr>
          <w:rFonts w:hint="eastAsia" w:ascii="仿宋_GB2312" w:hAnsi="仿宋" w:eastAsia="仿宋_GB2312"/>
          <w:color w:val="auto"/>
          <w:sz w:val="28"/>
          <w:szCs w:val="32"/>
        </w:rPr>
        <w:t>5月31日</w:t>
      </w:r>
      <w:r>
        <w:rPr>
          <w:rFonts w:hint="eastAsia" w:ascii="仿宋_GB2312" w:hAnsi="仿宋" w:eastAsia="仿宋_GB2312"/>
          <w:color w:val="auto"/>
          <w:sz w:val="28"/>
          <w:szCs w:val="32"/>
        </w:rPr>
        <w:t>前支付合同总额45%的款项。</w:t>
      </w:r>
    </w:p>
    <w:p>
      <w:pPr>
        <w:adjustRightInd w:val="0"/>
        <w:snapToGrid w:val="0"/>
        <w:spacing w:line="590" w:lineRule="exact"/>
        <w:ind w:left="16" w:leftChars="8" w:firstLine="621" w:firstLineChars="222"/>
        <w:rPr>
          <w:rFonts w:ascii="仿宋_GB2312" w:hAnsi="仿宋" w:eastAsia="仿宋_GB2312"/>
          <w:color w:val="auto"/>
          <w:sz w:val="28"/>
          <w:szCs w:val="32"/>
        </w:rPr>
      </w:pPr>
      <w:r>
        <w:rPr>
          <w:rFonts w:hint="eastAsia" w:ascii="仿宋_GB2312" w:hAnsi="仿宋" w:eastAsia="仿宋_GB2312"/>
          <w:color w:val="auto"/>
          <w:sz w:val="28"/>
          <w:szCs w:val="32"/>
        </w:rPr>
        <w:t>3期：验收通过，并收到发票后，于10个工作日内支付合同总额5%的款项。</w:t>
      </w:r>
    </w:p>
    <w:p>
      <w:pPr>
        <w:adjustRightInd w:val="0"/>
        <w:snapToGrid w:val="0"/>
        <w:spacing w:line="590" w:lineRule="exact"/>
        <w:ind w:left="16" w:leftChars="8" w:firstLine="621" w:firstLineChars="222"/>
        <w:rPr>
          <w:rFonts w:ascii="仿宋_GB2312" w:hAnsi="仿宋" w:eastAsia="仿宋_GB2312"/>
          <w:b/>
          <w:color w:val="auto"/>
          <w:sz w:val="28"/>
          <w:szCs w:val="32"/>
        </w:rPr>
      </w:pPr>
      <w:r>
        <w:rPr>
          <w:rFonts w:hint="eastAsia" w:ascii="仿宋_GB2312" w:hAnsi="仿宋" w:eastAsia="仿宋_GB2312"/>
          <w:b/>
          <w:color w:val="auto"/>
          <w:sz w:val="28"/>
          <w:szCs w:val="32"/>
        </w:rPr>
        <w:t>（五）验收要求</w:t>
      </w:r>
    </w:p>
    <w:p>
      <w:pPr>
        <w:adjustRightInd w:val="0"/>
        <w:snapToGrid w:val="0"/>
        <w:spacing w:line="590" w:lineRule="exact"/>
        <w:ind w:left="16" w:leftChars="8" w:firstLine="621" w:firstLineChars="222"/>
        <w:rPr>
          <w:rFonts w:ascii="仿宋_GB2312" w:hAnsi="仿宋" w:eastAsia="仿宋_GB2312"/>
          <w:color w:val="auto"/>
          <w:sz w:val="28"/>
          <w:szCs w:val="32"/>
        </w:rPr>
      </w:pPr>
      <w:r>
        <w:rPr>
          <w:rFonts w:hint="eastAsia" w:ascii="仿宋_GB2312" w:hAnsi="仿宋" w:eastAsia="仿宋_GB2312"/>
          <w:color w:val="auto"/>
          <w:sz w:val="28"/>
          <w:szCs w:val="32"/>
        </w:rPr>
        <w:t>1、验收时间及方式</w:t>
      </w:r>
    </w:p>
    <w:p>
      <w:pPr>
        <w:adjustRightInd w:val="0"/>
        <w:snapToGrid w:val="0"/>
        <w:spacing w:line="590" w:lineRule="exact"/>
        <w:ind w:left="16" w:leftChars="8" w:firstLine="621" w:firstLineChars="222"/>
        <w:rPr>
          <w:rFonts w:ascii="仿宋_GB2312" w:hAnsi="仿宋" w:eastAsia="仿宋_GB2312"/>
          <w:color w:val="auto"/>
          <w:sz w:val="28"/>
          <w:szCs w:val="32"/>
        </w:rPr>
      </w:pPr>
      <w:r>
        <w:rPr>
          <w:rFonts w:hint="eastAsia" w:ascii="仿宋_GB2312" w:hAnsi="仿宋" w:eastAsia="仿宋_GB2312"/>
          <w:color w:val="auto"/>
          <w:sz w:val="28"/>
          <w:szCs w:val="32"/>
        </w:rPr>
        <w:t>中标方完成整个采样并及时交付后，由中标方提出验收申请，采购方7个工作日内启动验收。采购方对提交的监测（溯源）分析</w:t>
      </w:r>
      <w:r>
        <w:rPr>
          <w:rFonts w:eastAsia="仿宋_GB2312"/>
          <w:color w:val="auto"/>
          <w:sz w:val="28"/>
          <w:szCs w:val="32"/>
        </w:rPr>
        <w:t>、</w:t>
      </w:r>
      <w:r>
        <w:rPr>
          <w:rFonts w:hint="eastAsia" w:ascii="仿宋_GB2312" w:hAnsi="仿宋" w:eastAsia="仿宋_GB2312"/>
          <w:color w:val="auto"/>
          <w:sz w:val="28"/>
          <w:szCs w:val="32"/>
        </w:rPr>
        <w:t>声纹织别报告及相关材料进行初步验收，组织聘请不少于3名专家对项目进行整体验收，验收通过后将支付尾款。</w:t>
      </w:r>
    </w:p>
    <w:p>
      <w:pPr>
        <w:adjustRightInd w:val="0"/>
        <w:snapToGrid w:val="0"/>
        <w:spacing w:line="590" w:lineRule="exact"/>
        <w:ind w:left="16" w:leftChars="8" w:firstLine="621" w:firstLineChars="222"/>
        <w:rPr>
          <w:rFonts w:ascii="仿宋_GB2312" w:hAnsi="仿宋" w:eastAsia="仿宋_GB2312"/>
          <w:color w:val="auto"/>
          <w:sz w:val="28"/>
          <w:szCs w:val="32"/>
        </w:rPr>
      </w:pPr>
      <w:r>
        <w:rPr>
          <w:rFonts w:hint="eastAsia" w:ascii="仿宋_GB2312" w:hAnsi="仿宋" w:eastAsia="仿宋_GB2312"/>
          <w:color w:val="auto"/>
          <w:sz w:val="28"/>
          <w:szCs w:val="32"/>
        </w:rPr>
        <w:t>2、验收标准</w:t>
      </w:r>
    </w:p>
    <w:p>
      <w:pPr>
        <w:adjustRightInd w:val="0"/>
        <w:snapToGrid w:val="0"/>
        <w:spacing w:line="590" w:lineRule="exact"/>
        <w:ind w:left="16" w:leftChars="8" w:firstLine="621" w:firstLineChars="222"/>
        <w:rPr>
          <w:rFonts w:ascii="仿宋_GB2312" w:hAnsi="仿宋" w:eastAsia="仿宋_GB2312"/>
          <w:color w:val="auto"/>
          <w:sz w:val="28"/>
          <w:szCs w:val="32"/>
        </w:rPr>
      </w:pPr>
      <w:r>
        <w:rPr>
          <w:rFonts w:hint="eastAsia" w:ascii="仿宋_GB2312" w:hAnsi="仿宋" w:eastAsia="仿宋_GB2312"/>
          <w:color w:val="auto"/>
          <w:sz w:val="28"/>
          <w:szCs w:val="32"/>
        </w:rPr>
        <w:t>（1）完成20个点位的摸查溯源、</w:t>
      </w:r>
      <w:r>
        <w:rPr>
          <w:rFonts w:hint="eastAsia" w:ascii="仿宋_GB2312" w:hAnsi="仿宋" w:eastAsia="仿宋_GB2312"/>
          <w:color w:val="auto"/>
          <w:sz w:val="28"/>
          <w:szCs w:val="32"/>
        </w:rPr>
        <w:t>15个点位</w:t>
      </w:r>
      <w:r>
        <w:rPr>
          <w:rFonts w:hint="eastAsia" w:ascii="仿宋_GB2312" w:hAnsi="仿宋" w:eastAsia="仿宋_GB2312"/>
          <w:color w:val="auto"/>
          <w:sz w:val="28"/>
          <w:szCs w:val="32"/>
        </w:rPr>
        <w:t>5</w:t>
      </w:r>
      <w:r>
        <w:rPr>
          <w:rFonts w:hint="eastAsia" w:ascii="仿宋" w:hAnsi="仿宋" w:eastAsia="仿宋"/>
          <w:color w:val="auto"/>
          <w:sz w:val="28"/>
          <w:szCs w:val="32"/>
        </w:rPr>
        <w:t>×</w:t>
      </w:r>
      <w:r>
        <w:rPr>
          <w:rFonts w:hint="eastAsia" w:ascii="仿宋_GB2312" w:hAnsi="仿宋" w:eastAsia="仿宋_GB2312"/>
          <w:color w:val="auto"/>
          <w:sz w:val="28"/>
          <w:szCs w:val="32"/>
        </w:rPr>
        <w:t>24小时的自动监测和超标录音，至少</w:t>
      </w:r>
      <w:r>
        <w:rPr>
          <w:rFonts w:ascii="仿宋_GB2312" w:hAnsi="仿宋" w:eastAsia="仿宋_GB2312"/>
          <w:color w:val="auto"/>
          <w:sz w:val="28"/>
          <w:szCs w:val="32"/>
        </w:rPr>
        <w:t>3</w:t>
      </w:r>
      <w:r>
        <w:rPr>
          <w:rFonts w:hint="eastAsia" w:ascii="仿宋_GB2312" w:hAnsi="仿宋" w:eastAsia="仿宋_GB2312"/>
          <w:color w:val="auto"/>
          <w:sz w:val="28"/>
          <w:szCs w:val="32"/>
        </w:rPr>
        <w:t>个点位2</w:t>
      </w:r>
      <w:r>
        <w:rPr>
          <w:rFonts w:hint="eastAsia" w:ascii="仿宋" w:hAnsi="仿宋" w:eastAsia="仿宋"/>
          <w:color w:val="auto"/>
          <w:sz w:val="28"/>
          <w:szCs w:val="32"/>
        </w:rPr>
        <w:t>×</w:t>
      </w:r>
      <w:r>
        <w:rPr>
          <w:rFonts w:ascii="仿宋_GB2312" w:hAnsi="仿宋" w:eastAsia="仿宋_GB2312"/>
          <w:color w:val="auto"/>
          <w:sz w:val="28"/>
          <w:szCs w:val="32"/>
        </w:rPr>
        <w:t>24</w:t>
      </w:r>
      <w:r>
        <w:rPr>
          <w:rFonts w:hint="eastAsia" w:ascii="仿宋_GB2312" w:hAnsi="仿宋" w:eastAsia="仿宋_GB2312"/>
          <w:color w:val="auto"/>
          <w:sz w:val="28"/>
          <w:szCs w:val="32"/>
        </w:rPr>
        <w:t>小时以及20个点位噪声超标录音的声纹识别工作，满足监测频次要求，满足监测技术规范要求。</w:t>
      </w:r>
    </w:p>
    <w:p>
      <w:pPr>
        <w:adjustRightInd w:val="0"/>
        <w:snapToGrid w:val="0"/>
        <w:spacing w:line="590" w:lineRule="exact"/>
        <w:ind w:left="16" w:leftChars="8" w:firstLine="621" w:firstLineChars="222"/>
        <w:rPr>
          <w:rFonts w:ascii="仿宋_GB2312" w:hAnsi="仿宋" w:eastAsia="仿宋_GB2312"/>
          <w:color w:val="auto"/>
          <w:sz w:val="28"/>
          <w:szCs w:val="32"/>
        </w:rPr>
      </w:pPr>
      <w:r>
        <w:rPr>
          <w:rFonts w:hint="eastAsia" w:ascii="仿宋_GB2312" w:hAnsi="仿宋" w:eastAsia="仿宋_GB2312"/>
          <w:color w:val="auto"/>
          <w:sz w:val="28"/>
          <w:szCs w:val="32"/>
        </w:rPr>
        <w:t>（2）监测数据记录（包括数据报表、质控记录、录音等）齐全，不遗漏。</w:t>
      </w:r>
    </w:p>
    <w:p>
      <w:pPr>
        <w:adjustRightInd w:val="0"/>
        <w:snapToGrid w:val="0"/>
        <w:spacing w:line="590" w:lineRule="exact"/>
        <w:ind w:left="16" w:leftChars="8" w:firstLine="621" w:firstLineChars="222"/>
        <w:rPr>
          <w:rFonts w:ascii="仿宋_GB2312" w:hAnsi="仿宋" w:eastAsia="仿宋_GB2312"/>
          <w:color w:val="auto"/>
          <w:sz w:val="28"/>
          <w:szCs w:val="32"/>
        </w:rPr>
      </w:pPr>
      <w:r>
        <w:rPr>
          <w:rFonts w:hint="eastAsia" w:ascii="仿宋_GB2312" w:hAnsi="仿宋" w:eastAsia="仿宋_GB2312"/>
          <w:color w:val="auto"/>
          <w:sz w:val="28"/>
          <w:szCs w:val="32"/>
        </w:rPr>
        <w:t>（3）提交1份监测溯源分析报告。</w:t>
      </w:r>
    </w:p>
    <w:p>
      <w:pPr>
        <w:adjustRightInd w:val="0"/>
        <w:snapToGrid w:val="0"/>
        <w:spacing w:line="590" w:lineRule="exact"/>
        <w:ind w:left="16" w:leftChars="8" w:firstLine="621" w:firstLineChars="222"/>
        <w:rPr>
          <w:rFonts w:ascii="仿宋_GB2312" w:hAnsi="仿宋" w:eastAsia="仿宋_GB2312"/>
          <w:color w:val="auto"/>
          <w:sz w:val="28"/>
          <w:szCs w:val="32"/>
        </w:rPr>
      </w:pPr>
      <w:r>
        <w:rPr>
          <w:rFonts w:hint="eastAsia" w:ascii="仿宋_GB2312" w:hAnsi="仿宋" w:eastAsia="仿宋_GB2312"/>
          <w:color w:val="auto"/>
          <w:sz w:val="28"/>
          <w:szCs w:val="32"/>
        </w:rPr>
        <w:t>（4）提交1份声纹识别报告。</w:t>
      </w:r>
    </w:p>
    <w:p>
      <w:pPr>
        <w:adjustRightInd w:val="0"/>
        <w:snapToGrid w:val="0"/>
        <w:spacing w:line="590" w:lineRule="exact"/>
        <w:ind w:left="16" w:leftChars="8" w:firstLine="621" w:firstLineChars="222"/>
        <w:rPr>
          <w:rFonts w:ascii="仿宋_GB2312" w:hAnsi="仿宋" w:eastAsia="仿宋_GB2312"/>
          <w:color w:val="auto"/>
          <w:sz w:val="28"/>
          <w:szCs w:val="32"/>
        </w:rPr>
      </w:pPr>
      <w:r>
        <w:rPr>
          <w:rFonts w:hint="eastAsia" w:ascii="仿宋_GB2312" w:hAnsi="仿宋" w:eastAsia="仿宋_GB2312"/>
          <w:color w:val="auto"/>
          <w:sz w:val="28"/>
          <w:szCs w:val="32"/>
        </w:rPr>
        <w:t>3.验收费用</w:t>
      </w:r>
    </w:p>
    <w:p>
      <w:pPr>
        <w:adjustRightInd w:val="0"/>
        <w:snapToGrid w:val="0"/>
        <w:spacing w:line="590" w:lineRule="exact"/>
        <w:ind w:left="16" w:leftChars="8" w:firstLine="621" w:firstLineChars="222"/>
        <w:rPr>
          <w:rFonts w:ascii="仿宋_GB2312" w:hAnsi="仿宋" w:eastAsia="仿宋_GB2312"/>
          <w:color w:val="auto"/>
          <w:sz w:val="28"/>
          <w:szCs w:val="32"/>
        </w:rPr>
      </w:pPr>
      <w:r>
        <w:rPr>
          <w:rFonts w:hint="eastAsia" w:ascii="仿宋_GB2312" w:hAnsi="仿宋" w:eastAsia="仿宋_GB2312"/>
          <w:color w:val="auto"/>
          <w:sz w:val="28"/>
          <w:szCs w:val="32"/>
        </w:rPr>
        <w:t>本项目验收所产生的所有费用由中标方承担。</w:t>
      </w:r>
    </w:p>
    <w:p>
      <w:pPr>
        <w:adjustRightInd w:val="0"/>
        <w:snapToGrid w:val="0"/>
        <w:spacing w:line="590" w:lineRule="exact"/>
        <w:ind w:left="16" w:leftChars="8" w:firstLine="621" w:firstLineChars="222"/>
        <w:rPr>
          <w:rFonts w:ascii="仿宋_GB2312" w:hAnsi="仿宋" w:eastAsia="仿宋_GB2312"/>
          <w:b/>
          <w:color w:val="auto"/>
          <w:sz w:val="28"/>
          <w:szCs w:val="32"/>
        </w:rPr>
      </w:pPr>
      <w:r>
        <w:rPr>
          <w:rFonts w:hint="eastAsia" w:ascii="仿宋_GB2312" w:hAnsi="仿宋" w:eastAsia="仿宋_GB2312"/>
          <w:b/>
          <w:color w:val="auto"/>
          <w:sz w:val="28"/>
          <w:szCs w:val="32"/>
        </w:rPr>
        <w:t>（六）其他要求</w:t>
      </w:r>
    </w:p>
    <w:p>
      <w:pPr>
        <w:adjustRightInd w:val="0"/>
        <w:snapToGrid w:val="0"/>
        <w:spacing w:line="590" w:lineRule="exact"/>
        <w:ind w:left="16" w:leftChars="8" w:firstLine="621" w:firstLineChars="222"/>
        <w:rPr>
          <w:rFonts w:ascii="仿宋_GB2312" w:hAnsi="仿宋" w:eastAsia="仿宋_GB2312"/>
          <w:color w:val="auto"/>
          <w:sz w:val="28"/>
          <w:szCs w:val="32"/>
        </w:rPr>
      </w:pPr>
      <w:r>
        <w:rPr>
          <w:rFonts w:hint="eastAsia" w:ascii="仿宋_GB2312" w:hAnsi="仿宋" w:eastAsia="仿宋_GB2312"/>
          <w:color w:val="auto"/>
          <w:sz w:val="28"/>
          <w:szCs w:val="32"/>
        </w:rPr>
        <w:t>1.保密要求</w:t>
      </w:r>
    </w:p>
    <w:p>
      <w:pPr>
        <w:adjustRightInd w:val="0"/>
        <w:snapToGrid w:val="0"/>
        <w:spacing w:line="590" w:lineRule="exact"/>
        <w:ind w:left="16" w:leftChars="8" w:firstLine="621" w:firstLineChars="222"/>
        <w:rPr>
          <w:rFonts w:ascii="仿宋_GB2312" w:hAnsi="仿宋" w:eastAsia="仿宋_GB2312"/>
          <w:color w:val="auto"/>
          <w:sz w:val="28"/>
          <w:szCs w:val="32"/>
        </w:rPr>
      </w:pPr>
      <w:r>
        <w:rPr>
          <w:rFonts w:hint="eastAsia" w:ascii="仿宋_GB2312" w:hAnsi="仿宋" w:eastAsia="仿宋_GB2312"/>
          <w:color w:val="auto"/>
          <w:sz w:val="28"/>
          <w:szCs w:val="32"/>
        </w:rPr>
        <w:t>项目实施过程中，中标方必须采取措施对本项目的数据、技术文档等资料保密；项目完成后，未经采购方书面同意，中标方不得以任何形式运用、公布或向第三方透露相关监测结果、情况及相关技术文档资料。否则，由于中标方过错导致上述信息泄密的，中标方必须承担一切责任。</w:t>
      </w:r>
    </w:p>
    <w:p>
      <w:pPr>
        <w:adjustRightInd w:val="0"/>
        <w:snapToGrid w:val="0"/>
        <w:spacing w:line="590" w:lineRule="exact"/>
        <w:ind w:left="16" w:leftChars="8" w:firstLine="621" w:firstLineChars="222"/>
        <w:rPr>
          <w:rFonts w:ascii="仿宋_GB2312" w:hAnsi="仿宋" w:eastAsia="仿宋_GB2312"/>
          <w:color w:val="auto"/>
          <w:sz w:val="28"/>
          <w:szCs w:val="32"/>
        </w:rPr>
      </w:pPr>
    </w:p>
    <w:p>
      <w:pPr>
        <w:adjustRightInd w:val="0"/>
        <w:snapToGrid w:val="0"/>
        <w:rPr>
          <w:b/>
          <w:color w:val="auto"/>
          <w:sz w:val="32"/>
        </w:rPr>
      </w:pPr>
    </w:p>
    <w:sectPr>
      <w:pgSz w:w="11906" w:h="16838"/>
      <w:pgMar w:top="1440" w:right="1797" w:bottom="1440" w:left="1797" w:header="851" w:footer="992" w:gutter="0"/>
      <w:cols w:space="425" w:num="1"/>
      <w:docGrid w:type="linesAndChar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楷体_GB2312">
    <w:panose1 w:val="02010609030101010101"/>
    <w:charset w:val="86"/>
    <w:family w:val="modern"/>
    <w:pitch w:val="default"/>
    <w:sig w:usb0="00000001" w:usb1="080E0000" w:usb2="00000000" w:usb3="00000000" w:csb0="00040000" w:csb1="00000000"/>
  </w:font>
  <w:font w:name="方正小标宋_GBK">
    <w:panose1 w:val="03000509000000000000"/>
    <w:charset w:val="86"/>
    <w:family w:val="script"/>
    <w:pitch w:val="default"/>
    <w:sig w:usb0="00000001" w:usb1="080E0000" w:usb2="00000000" w:usb3="00000000" w:csb0="00040000" w:csb1="00000000"/>
  </w:font>
  <w:font w:name="仿宋_GB2312">
    <w:panose1 w:val="02010609030101010101"/>
    <w:charset w:val="86"/>
    <w:family w:val="modern"/>
    <w:pitch w:val="default"/>
    <w:sig w:usb0="00000001" w:usb1="080E0000" w:usb2="00000000" w:usb3="00000000" w:csb0="00040000" w:csb1="00000000"/>
  </w:font>
  <w:font w:name="仿宋">
    <w:panose1 w:val="02010609060101010101"/>
    <w:charset w:val="86"/>
    <w:family w:val="modern"/>
    <w:pitch w:val="default"/>
    <w:sig w:usb0="800002BF" w:usb1="38CF7CFA" w:usb2="00000016" w:usb3="00000000" w:csb0="00040001" w:csb1="00000000"/>
  </w:font>
  <w:font w:name="楷体">
    <w:panose1 w:val="02010609060101010101"/>
    <w:charset w:val="86"/>
    <w:family w:val="modern"/>
    <w:pitch w:val="default"/>
    <w:sig w:usb0="800002BF" w:usb1="38CF7CFA" w:usb2="00000016" w:usb3="00000000" w:csb0="0004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1"/>
  <w:bordersDoNotSurroundFooter w:val="1"/>
  <w:documentProtection w:enforcement="0"/>
  <w:defaultTabStop w:val="420"/>
  <w:drawingGridHorizontalSpacing w:val="105"/>
  <w:drawingGridVerticalSpacing w:val="156"/>
  <w:displayHorizontalDrawingGridEvery w:val="2"/>
  <w:displayVerticalDrawingGridEvery w:val="2"/>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N2M2MWRiNDkwNjVhZmM3OWQ2YWQyMTgwNjc0NjFhZWUifQ=="/>
  </w:docVars>
  <w:rsids>
    <w:rsidRoot w:val="00AB433C"/>
    <w:rsid w:val="00003031"/>
    <w:rsid w:val="0001508E"/>
    <w:rsid w:val="000247AA"/>
    <w:rsid w:val="00033592"/>
    <w:rsid w:val="00033A2B"/>
    <w:rsid w:val="00040850"/>
    <w:rsid w:val="00044ED6"/>
    <w:rsid w:val="00052588"/>
    <w:rsid w:val="000636A0"/>
    <w:rsid w:val="000674D3"/>
    <w:rsid w:val="00073017"/>
    <w:rsid w:val="00074256"/>
    <w:rsid w:val="00082B3B"/>
    <w:rsid w:val="00091EC4"/>
    <w:rsid w:val="00093247"/>
    <w:rsid w:val="000A47EC"/>
    <w:rsid w:val="000B03D3"/>
    <w:rsid w:val="000B1199"/>
    <w:rsid w:val="000B4FB9"/>
    <w:rsid w:val="000C6AF3"/>
    <w:rsid w:val="001115D3"/>
    <w:rsid w:val="001161EE"/>
    <w:rsid w:val="00126906"/>
    <w:rsid w:val="00127A32"/>
    <w:rsid w:val="00131622"/>
    <w:rsid w:val="001322C0"/>
    <w:rsid w:val="0014613D"/>
    <w:rsid w:val="001649F5"/>
    <w:rsid w:val="00191CA7"/>
    <w:rsid w:val="001A3F78"/>
    <w:rsid w:val="001A749B"/>
    <w:rsid w:val="001B3D34"/>
    <w:rsid w:val="001B4FFA"/>
    <w:rsid w:val="001D0BC4"/>
    <w:rsid w:val="001D5F0A"/>
    <w:rsid w:val="001E3959"/>
    <w:rsid w:val="001F0EC2"/>
    <w:rsid w:val="001F1369"/>
    <w:rsid w:val="001F248E"/>
    <w:rsid w:val="00205E72"/>
    <w:rsid w:val="0021080B"/>
    <w:rsid w:val="00222883"/>
    <w:rsid w:val="002334E0"/>
    <w:rsid w:val="00242783"/>
    <w:rsid w:val="00246AF8"/>
    <w:rsid w:val="0025296F"/>
    <w:rsid w:val="0029282D"/>
    <w:rsid w:val="00293619"/>
    <w:rsid w:val="002A22A7"/>
    <w:rsid w:val="002B2A43"/>
    <w:rsid w:val="002B3613"/>
    <w:rsid w:val="002B398B"/>
    <w:rsid w:val="002D617B"/>
    <w:rsid w:val="002D7C8A"/>
    <w:rsid w:val="002D7E91"/>
    <w:rsid w:val="002E205B"/>
    <w:rsid w:val="002E5D9D"/>
    <w:rsid w:val="002F14A0"/>
    <w:rsid w:val="002F4A7A"/>
    <w:rsid w:val="00316FD7"/>
    <w:rsid w:val="00332E58"/>
    <w:rsid w:val="00334AD8"/>
    <w:rsid w:val="00334F4A"/>
    <w:rsid w:val="003363B5"/>
    <w:rsid w:val="003425AC"/>
    <w:rsid w:val="00356665"/>
    <w:rsid w:val="0036497B"/>
    <w:rsid w:val="003771F8"/>
    <w:rsid w:val="00383D76"/>
    <w:rsid w:val="003860C6"/>
    <w:rsid w:val="00396188"/>
    <w:rsid w:val="00396919"/>
    <w:rsid w:val="003A48BB"/>
    <w:rsid w:val="003B7913"/>
    <w:rsid w:val="003D05F1"/>
    <w:rsid w:val="003F26D2"/>
    <w:rsid w:val="004025BD"/>
    <w:rsid w:val="00406E3D"/>
    <w:rsid w:val="00407421"/>
    <w:rsid w:val="00422223"/>
    <w:rsid w:val="00423968"/>
    <w:rsid w:val="0042540C"/>
    <w:rsid w:val="00455749"/>
    <w:rsid w:val="00455D41"/>
    <w:rsid w:val="00486D7F"/>
    <w:rsid w:val="004A14CC"/>
    <w:rsid w:val="004A4D10"/>
    <w:rsid w:val="004A7A97"/>
    <w:rsid w:val="004B3776"/>
    <w:rsid w:val="004C27A8"/>
    <w:rsid w:val="004C30D5"/>
    <w:rsid w:val="004D0AC8"/>
    <w:rsid w:val="004D29FA"/>
    <w:rsid w:val="004D6633"/>
    <w:rsid w:val="0050468A"/>
    <w:rsid w:val="0050590F"/>
    <w:rsid w:val="0050793D"/>
    <w:rsid w:val="005159EF"/>
    <w:rsid w:val="00530C0B"/>
    <w:rsid w:val="0053509A"/>
    <w:rsid w:val="005400F0"/>
    <w:rsid w:val="00541AF6"/>
    <w:rsid w:val="00541B74"/>
    <w:rsid w:val="00546BB4"/>
    <w:rsid w:val="00553FA2"/>
    <w:rsid w:val="00554178"/>
    <w:rsid w:val="00557A08"/>
    <w:rsid w:val="00560345"/>
    <w:rsid w:val="00565E7A"/>
    <w:rsid w:val="00583FC2"/>
    <w:rsid w:val="00586617"/>
    <w:rsid w:val="005950DB"/>
    <w:rsid w:val="005A45E4"/>
    <w:rsid w:val="005C2132"/>
    <w:rsid w:val="005C5307"/>
    <w:rsid w:val="005D21C1"/>
    <w:rsid w:val="005D6347"/>
    <w:rsid w:val="005E309C"/>
    <w:rsid w:val="005E5621"/>
    <w:rsid w:val="006022D5"/>
    <w:rsid w:val="00606C5C"/>
    <w:rsid w:val="00617166"/>
    <w:rsid w:val="00617DBF"/>
    <w:rsid w:val="00633857"/>
    <w:rsid w:val="00634358"/>
    <w:rsid w:val="00640158"/>
    <w:rsid w:val="0064481E"/>
    <w:rsid w:val="00665BA0"/>
    <w:rsid w:val="0067360F"/>
    <w:rsid w:val="006858A5"/>
    <w:rsid w:val="00691E65"/>
    <w:rsid w:val="006A4F5A"/>
    <w:rsid w:val="006B0580"/>
    <w:rsid w:val="006C4E11"/>
    <w:rsid w:val="006D3253"/>
    <w:rsid w:val="006E0395"/>
    <w:rsid w:val="006E5C14"/>
    <w:rsid w:val="006E7763"/>
    <w:rsid w:val="006F1A13"/>
    <w:rsid w:val="006F1F54"/>
    <w:rsid w:val="006F3D64"/>
    <w:rsid w:val="006F4D6F"/>
    <w:rsid w:val="006F5DD2"/>
    <w:rsid w:val="0070057A"/>
    <w:rsid w:val="00712480"/>
    <w:rsid w:val="0072796D"/>
    <w:rsid w:val="00735A75"/>
    <w:rsid w:val="00741C77"/>
    <w:rsid w:val="00750D5F"/>
    <w:rsid w:val="00763171"/>
    <w:rsid w:val="00772CD0"/>
    <w:rsid w:val="00772F85"/>
    <w:rsid w:val="00773DBA"/>
    <w:rsid w:val="00777379"/>
    <w:rsid w:val="00794804"/>
    <w:rsid w:val="007A0F19"/>
    <w:rsid w:val="007A559A"/>
    <w:rsid w:val="007C128E"/>
    <w:rsid w:val="007C42DC"/>
    <w:rsid w:val="007C7803"/>
    <w:rsid w:val="007D00CF"/>
    <w:rsid w:val="007D09B3"/>
    <w:rsid w:val="007D2F30"/>
    <w:rsid w:val="007F537C"/>
    <w:rsid w:val="008036C2"/>
    <w:rsid w:val="008056A2"/>
    <w:rsid w:val="00806DB3"/>
    <w:rsid w:val="00855789"/>
    <w:rsid w:val="00857BE5"/>
    <w:rsid w:val="00871291"/>
    <w:rsid w:val="008740F9"/>
    <w:rsid w:val="008A13F0"/>
    <w:rsid w:val="008A2549"/>
    <w:rsid w:val="008B0D18"/>
    <w:rsid w:val="008C6DD0"/>
    <w:rsid w:val="008D1907"/>
    <w:rsid w:val="008D1F6A"/>
    <w:rsid w:val="008D41BB"/>
    <w:rsid w:val="009038DE"/>
    <w:rsid w:val="00930AE6"/>
    <w:rsid w:val="009315FA"/>
    <w:rsid w:val="009317F8"/>
    <w:rsid w:val="009362A0"/>
    <w:rsid w:val="00943CED"/>
    <w:rsid w:val="00972F4D"/>
    <w:rsid w:val="00980D24"/>
    <w:rsid w:val="009823D6"/>
    <w:rsid w:val="00985608"/>
    <w:rsid w:val="00986FBA"/>
    <w:rsid w:val="00997FF3"/>
    <w:rsid w:val="009B3D51"/>
    <w:rsid w:val="009B63F2"/>
    <w:rsid w:val="009C7B4E"/>
    <w:rsid w:val="009D02F1"/>
    <w:rsid w:val="00A10651"/>
    <w:rsid w:val="00A1086E"/>
    <w:rsid w:val="00A1172D"/>
    <w:rsid w:val="00A2546A"/>
    <w:rsid w:val="00A336D5"/>
    <w:rsid w:val="00A36896"/>
    <w:rsid w:val="00A458E8"/>
    <w:rsid w:val="00A8271D"/>
    <w:rsid w:val="00A87191"/>
    <w:rsid w:val="00AA5888"/>
    <w:rsid w:val="00AB433C"/>
    <w:rsid w:val="00AB76D5"/>
    <w:rsid w:val="00AC3C73"/>
    <w:rsid w:val="00AD593C"/>
    <w:rsid w:val="00AD5CD7"/>
    <w:rsid w:val="00AE19FD"/>
    <w:rsid w:val="00AE45CD"/>
    <w:rsid w:val="00AE6049"/>
    <w:rsid w:val="00AF213D"/>
    <w:rsid w:val="00AF3AFF"/>
    <w:rsid w:val="00AF56AF"/>
    <w:rsid w:val="00AF681D"/>
    <w:rsid w:val="00B1697A"/>
    <w:rsid w:val="00B279E7"/>
    <w:rsid w:val="00B3544C"/>
    <w:rsid w:val="00B37E0A"/>
    <w:rsid w:val="00B63741"/>
    <w:rsid w:val="00B85417"/>
    <w:rsid w:val="00B939FB"/>
    <w:rsid w:val="00BC2D86"/>
    <w:rsid w:val="00BC43A4"/>
    <w:rsid w:val="00BC57BF"/>
    <w:rsid w:val="00BC581E"/>
    <w:rsid w:val="00BC7207"/>
    <w:rsid w:val="00BD071B"/>
    <w:rsid w:val="00BE2988"/>
    <w:rsid w:val="00BE4ED3"/>
    <w:rsid w:val="00BE7A42"/>
    <w:rsid w:val="00BF2496"/>
    <w:rsid w:val="00C002A8"/>
    <w:rsid w:val="00C1150A"/>
    <w:rsid w:val="00C1733D"/>
    <w:rsid w:val="00C23955"/>
    <w:rsid w:val="00C25BA1"/>
    <w:rsid w:val="00C26D8A"/>
    <w:rsid w:val="00C32165"/>
    <w:rsid w:val="00C325FB"/>
    <w:rsid w:val="00C3750E"/>
    <w:rsid w:val="00C6743E"/>
    <w:rsid w:val="00C700F4"/>
    <w:rsid w:val="00C74AED"/>
    <w:rsid w:val="00C74D75"/>
    <w:rsid w:val="00C7586E"/>
    <w:rsid w:val="00C767F3"/>
    <w:rsid w:val="00C77B21"/>
    <w:rsid w:val="00C8069E"/>
    <w:rsid w:val="00C82B0E"/>
    <w:rsid w:val="00C92EDC"/>
    <w:rsid w:val="00CA1468"/>
    <w:rsid w:val="00CA5D38"/>
    <w:rsid w:val="00CB0683"/>
    <w:rsid w:val="00CB3020"/>
    <w:rsid w:val="00CB4C4D"/>
    <w:rsid w:val="00CB79B2"/>
    <w:rsid w:val="00CC786F"/>
    <w:rsid w:val="00CE5E5E"/>
    <w:rsid w:val="00D00A7A"/>
    <w:rsid w:val="00D066A8"/>
    <w:rsid w:val="00D1323B"/>
    <w:rsid w:val="00D177DA"/>
    <w:rsid w:val="00D33BCB"/>
    <w:rsid w:val="00D4021D"/>
    <w:rsid w:val="00D446E7"/>
    <w:rsid w:val="00D45E8C"/>
    <w:rsid w:val="00D46ABA"/>
    <w:rsid w:val="00D61DA9"/>
    <w:rsid w:val="00D825CA"/>
    <w:rsid w:val="00D83D3D"/>
    <w:rsid w:val="00D84E78"/>
    <w:rsid w:val="00D87F13"/>
    <w:rsid w:val="00D93C91"/>
    <w:rsid w:val="00D949F5"/>
    <w:rsid w:val="00DA1B3D"/>
    <w:rsid w:val="00DB5702"/>
    <w:rsid w:val="00DC1F2F"/>
    <w:rsid w:val="00DD1E1F"/>
    <w:rsid w:val="00DD4721"/>
    <w:rsid w:val="00DF3648"/>
    <w:rsid w:val="00DF6BD7"/>
    <w:rsid w:val="00E06A12"/>
    <w:rsid w:val="00E14CF9"/>
    <w:rsid w:val="00E20517"/>
    <w:rsid w:val="00E325F1"/>
    <w:rsid w:val="00E4203D"/>
    <w:rsid w:val="00E6081C"/>
    <w:rsid w:val="00E630F4"/>
    <w:rsid w:val="00E94675"/>
    <w:rsid w:val="00E94BFB"/>
    <w:rsid w:val="00EA52F7"/>
    <w:rsid w:val="00EB4CC9"/>
    <w:rsid w:val="00ED50F2"/>
    <w:rsid w:val="00ED6802"/>
    <w:rsid w:val="00ED71C3"/>
    <w:rsid w:val="00EF0244"/>
    <w:rsid w:val="00EF6CB8"/>
    <w:rsid w:val="00F00048"/>
    <w:rsid w:val="00F00AC0"/>
    <w:rsid w:val="00F02F1A"/>
    <w:rsid w:val="00F031BD"/>
    <w:rsid w:val="00F059B7"/>
    <w:rsid w:val="00F05F72"/>
    <w:rsid w:val="00F14616"/>
    <w:rsid w:val="00F158E6"/>
    <w:rsid w:val="00F40781"/>
    <w:rsid w:val="00F452FB"/>
    <w:rsid w:val="00F46065"/>
    <w:rsid w:val="00F525CE"/>
    <w:rsid w:val="00F62691"/>
    <w:rsid w:val="00F70157"/>
    <w:rsid w:val="00F70A05"/>
    <w:rsid w:val="00F73285"/>
    <w:rsid w:val="00F77D45"/>
    <w:rsid w:val="00F81868"/>
    <w:rsid w:val="00FC672E"/>
    <w:rsid w:val="00FE6A3C"/>
    <w:rsid w:val="00FF2E78"/>
    <w:rsid w:val="00FF4362"/>
    <w:rsid w:val="01D00A7D"/>
    <w:rsid w:val="07951EC6"/>
    <w:rsid w:val="096156FC"/>
    <w:rsid w:val="0BF444BA"/>
    <w:rsid w:val="0CFA65BA"/>
    <w:rsid w:val="119007EB"/>
    <w:rsid w:val="11AC0C1F"/>
    <w:rsid w:val="182508A7"/>
    <w:rsid w:val="333C7F24"/>
    <w:rsid w:val="3F245F67"/>
    <w:rsid w:val="45783AEB"/>
    <w:rsid w:val="46A26D11"/>
    <w:rsid w:val="4C0B4B61"/>
    <w:rsid w:val="58E95545"/>
    <w:rsid w:val="5A540BB1"/>
    <w:rsid w:val="5E805E3A"/>
    <w:rsid w:val="69607388"/>
    <w:rsid w:val="6BA10F51"/>
    <w:rsid w:val="7821642B"/>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iPriority="99"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iPriority="99" w:name="Balloon Text"/>
    <w:lsdException w:qFormat="1"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2"/>
      <w:lang w:val="en-US" w:eastAsia="zh-CN" w:bidi="ar-SA"/>
    </w:rPr>
  </w:style>
  <w:style w:type="character" w:default="1" w:styleId="7">
    <w:name w:val="Default Paragraph Font"/>
    <w:semiHidden/>
    <w:unhideWhenUsed/>
    <w:qFormat/>
    <w:uiPriority w:val="1"/>
  </w:style>
  <w:style w:type="table" w:default="1" w:styleId="5">
    <w:name w:val="Normal Table"/>
    <w:semiHidden/>
    <w:unhideWhenUsed/>
    <w:qFormat/>
    <w:uiPriority w:val="99"/>
    <w:tblPr>
      <w:tblCellMar>
        <w:top w:w="0" w:type="dxa"/>
        <w:left w:w="108" w:type="dxa"/>
        <w:bottom w:w="0" w:type="dxa"/>
        <w:right w:w="108" w:type="dxa"/>
      </w:tblCellMar>
    </w:tblPr>
  </w:style>
  <w:style w:type="paragraph" w:styleId="2">
    <w:name w:val="Balloon Text"/>
    <w:basedOn w:val="1"/>
    <w:link w:val="10"/>
    <w:semiHidden/>
    <w:unhideWhenUsed/>
    <w:qFormat/>
    <w:uiPriority w:val="99"/>
    <w:rPr>
      <w:sz w:val="18"/>
      <w:szCs w:val="18"/>
    </w:rPr>
  </w:style>
  <w:style w:type="paragraph" w:styleId="3">
    <w:name w:val="footer"/>
    <w:basedOn w:val="1"/>
    <w:link w:val="9"/>
    <w:unhideWhenUsed/>
    <w:qFormat/>
    <w:uiPriority w:val="99"/>
    <w:pPr>
      <w:tabs>
        <w:tab w:val="center" w:pos="4153"/>
        <w:tab w:val="right" w:pos="8306"/>
      </w:tabs>
      <w:snapToGrid w:val="0"/>
      <w:jc w:val="left"/>
    </w:pPr>
    <w:rPr>
      <w:sz w:val="18"/>
      <w:szCs w:val="18"/>
    </w:rPr>
  </w:style>
  <w:style w:type="paragraph" w:styleId="4">
    <w:name w:val="header"/>
    <w:basedOn w:val="1"/>
    <w:link w:val="8"/>
    <w:unhideWhenUsed/>
    <w:qFormat/>
    <w:uiPriority w:val="99"/>
    <w:pPr>
      <w:pBdr>
        <w:bottom w:val="single" w:color="auto" w:sz="6" w:space="1"/>
      </w:pBdr>
      <w:tabs>
        <w:tab w:val="center" w:pos="4153"/>
        <w:tab w:val="right" w:pos="8306"/>
      </w:tabs>
      <w:snapToGrid w:val="0"/>
      <w:jc w:val="center"/>
    </w:pPr>
    <w:rPr>
      <w:sz w:val="18"/>
      <w:szCs w:val="18"/>
    </w:rPr>
  </w:style>
  <w:style w:type="table" w:styleId="6">
    <w:name w:val="Table Grid"/>
    <w:basedOn w:val="5"/>
    <w:qFormat/>
    <w:uiPriority w:val="59"/>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style>
  <w:style w:type="character" w:customStyle="1" w:styleId="8">
    <w:name w:val="页眉 Char"/>
    <w:basedOn w:val="7"/>
    <w:link w:val="4"/>
    <w:qFormat/>
    <w:uiPriority w:val="99"/>
    <w:rPr>
      <w:sz w:val="18"/>
      <w:szCs w:val="18"/>
    </w:rPr>
  </w:style>
  <w:style w:type="character" w:customStyle="1" w:styleId="9">
    <w:name w:val="页脚 Char"/>
    <w:basedOn w:val="7"/>
    <w:link w:val="3"/>
    <w:qFormat/>
    <w:uiPriority w:val="99"/>
    <w:rPr>
      <w:sz w:val="18"/>
      <w:szCs w:val="18"/>
    </w:rPr>
  </w:style>
  <w:style w:type="character" w:customStyle="1" w:styleId="10">
    <w:name w:val="批注框文本 Char"/>
    <w:basedOn w:val="7"/>
    <w:link w:val="2"/>
    <w:semiHidden/>
    <w:qFormat/>
    <w:uiPriority w:val="99"/>
    <w:rPr>
      <w:sz w:val="18"/>
      <w:szCs w:val="18"/>
    </w:rPr>
  </w:style>
  <w:style w:type="paragraph" w:customStyle="1" w:styleId="11">
    <w:name w:val="msolistparagraph"/>
    <w:basedOn w:val="1"/>
    <w:qFormat/>
    <w:uiPriority w:val="0"/>
    <w:pPr>
      <w:ind w:firstLine="420" w:firstLineChars="200"/>
    </w:pPr>
    <w:rPr>
      <w:rFonts w:ascii="Times New Roman" w:hAnsi="Times New Roman" w:eastAsia="宋体" w:cs="Times New Roman"/>
      <w:szCs w:val="20"/>
    </w:rPr>
  </w:style>
  <w:style w:type="character" w:customStyle="1" w:styleId="12">
    <w:name w:val="font11"/>
    <w:basedOn w:val="7"/>
    <w:qFormat/>
    <w:uiPriority w:val="0"/>
    <w:rPr>
      <w:rFonts w:ascii="楷体_GB2312" w:eastAsia="楷体_GB2312" w:cs="楷体_GB2312"/>
      <w:color w:val="000000"/>
      <w:sz w:val="22"/>
      <w:szCs w:val="22"/>
      <w:u w:val="none"/>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CEE6B68E-D844-4950-8F85-51B972FE2B68}">
  <ds:schemaRefs/>
</ds:datastoreItem>
</file>

<file path=docProps/app.xml><?xml version="1.0" encoding="utf-8"?>
<Properties xmlns="http://schemas.openxmlformats.org/officeDocument/2006/extended-properties" xmlns:vt="http://schemas.openxmlformats.org/officeDocument/2006/docPropsVTypes">
  <Template>Normal.dotm</Template>
  <Company>Hewlett-Packard Company</Company>
  <Pages>7</Pages>
  <Words>2453</Words>
  <Characters>2575</Characters>
  <Lines>19</Lines>
  <Paragraphs>5</Paragraphs>
  <TotalTime>25</TotalTime>
  <ScaleCrop>false</ScaleCrop>
  <LinksUpToDate>false</LinksUpToDate>
  <CharactersWithSpaces>2584</CharactersWithSpaces>
  <Application>WPS Office_11.1.0.14036_F1E327BC-269C-435d-A152-05C5408002CA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2023-03-29T03:13:00Z</dcterms:created>
  <dc:creator>pc</dc:creator>
  <cp:lastModifiedBy>采购人</cp:lastModifiedBy>
  <cp:lastPrinted>2021-03-17T08:17:00Z</cp:lastPrinted>
  <dcterms:modified xsi:type="dcterms:W3CDTF">2023-05-04T06:32:13Z</dcterms:modified>
  <cp:revision>7</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2052-11.1.0.14036</vt:lpwstr>
  </property>
  <property fmtid="{D5CDD505-2E9C-101B-9397-08002B2CF9AE}" pid="3" name="ICV">
    <vt:lpwstr>5A76032E8CC947F081C312151235E93F_13</vt:lpwstr>
  </property>
</Properties>
</file>