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W w:w="0" w:type="auto"/>
        <w:jc w:val="center"/>
        <w:tblCellSpacing w:w="0" w:type="dxa"/>
        <w:shd w:val="clear" w:color="auto" w:fill="auto"/>
        <w:tblLayout w:type="autofit"/>
        <w:tblCellMar>
          <w:top w:w="0" w:type="dxa"/>
          <w:left w:w="0" w:type="dxa"/>
          <w:bottom w:w="0" w:type="dxa"/>
          <w:right w:w="0" w:type="dxa"/>
        </w:tblCellMar>
      </w:tblPr>
      <w:tblGrid>
        <w:gridCol w:w="13958"/>
      </w:tblGrid>
      <w:tr>
        <w:tblPrEx>
          <w:shd w:val="clear" w:color="auto" w:fill="auto"/>
          <w:tblCellMar>
            <w:top w:w="0" w:type="dxa"/>
            <w:left w:w="0" w:type="dxa"/>
            <w:bottom w:w="0" w:type="dxa"/>
            <w:right w:w="0" w:type="dxa"/>
          </w:tblCellMar>
        </w:tblPrEx>
        <w:trPr>
          <w:tblCellSpacing w:w="0" w:type="dxa"/>
          <w:jc w:val="center"/>
        </w:trPr>
        <w:tc>
          <w:tcPr>
            <w:tcW w:w="0" w:type="auto"/>
            <w:shd w:val="clear" w:color="auto" w:fill="auto"/>
            <w:vAlign w:val="center"/>
          </w:tcPr>
          <w:tbl>
            <w:tblPr>
              <w:tblStyle w:val="6"/>
              <w:tblW w:w="5000" w:type="pct"/>
              <w:tblInd w:w="-92" w:type="dxa"/>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1143"/>
              <w:gridCol w:w="4829"/>
              <w:gridCol w:w="1745"/>
              <w:gridCol w:w="1317"/>
              <w:gridCol w:w="1317"/>
              <w:gridCol w:w="1745"/>
              <w:gridCol w:w="1852"/>
            </w:tblGrid>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c>
                <w:tcPr>
                  <w:tcW w:w="0" w:type="auto"/>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行政处罚决定文书号 :</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102401"/>
                      <w:spacing w:val="0"/>
                      <w:sz w:val="18"/>
                      <w:szCs w:val="18"/>
                    </w:rPr>
                    <w:t>穗环法罚〔2023〕7号</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0" w:type="auto"/>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行政相对人类别:</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kern w:val="0"/>
                      <w:sz w:val="18"/>
                      <w:szCs w:val="18"/>
                      <w:lang w:val="en-US" w:eastAsia="zh-CN" w:bidi="ar"/>
                    </w:rPr>
                    <w:t>法人及非法人组织</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0" w:type="auto"/>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处罚类别:</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kern w:val="0"/>
                      <w:sz w:val="18"/>
                      <w:szCs w:val="18"/>
                      <w:lang w:val="en-US" w:eastAsia="zh-CN" w:bidi="ar"/>
                    </w:rPr>
                    <w:t>罚款</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0" w:type="auto"/>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违法事实:</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宋体" w:hAnsi="宋体" w:eastAsia="宋体" w:cs="宋体"/>
                      <w:i w:val="0"/>
                      <w:iCs w:val="0"/>
                      <w:caps w:val="0"/>
                      <w:color w:val="102401"/>
                      <w:spacing w:val="0"/>
                      <w:sz w:val="18"/>
                      <w:szCs w:val="18"/>
                    </w:rPr>
                  </w:pPr>
                  <w:r>
                    <w:rPr>
                      <w:rFonts w:hint="eastAsia" w:ascii="宋体" w:hAnsi="宋体" w:eastAsia="宋体" w:cs="宋体"/>
                      <w:i w:val="0"/>
                      <w:iCs w:val="0"/>
                      <w:caps w:val="0"/>
                      <w:color w:val="102401"/>
                      <w:spacing w:val="0"/>
                      <w:sz w:val="18"/>
                      <w:szCs w:val="18"/>
                    </w:rPr>
                    <w:t>当事人主要从事广州市××电厂炉渣综合处理的项目，已办理相关环保手续，其主要处理工艺包含上料、筛选、磁选、破碎、浮力重选、脱水等，主要设备有带式输送机、悬挂式电磁除铁器、锤式破碎机、锯齿波形跳汰机、摇床除铁器和震动脱水筛等。根据当事人提供的《广州市××电厂炉渣综合处理项目环境影响补充分析说明》，生活垃圾焚烧废气处理过程中，使用25%的氨水作为SNCR脱氮系统的还原剂，故垃圾焚烧炉渣会沾有少量氨水，氨水属于易挥发物质，在卸料及机械破碎阶段，炉渣翻滚后会挥发形成恶臭，因此当事人共设置5套废气净化塔（酸雾喷淋）处理车间产生的恶臭气体，其中3#废气净化塔处理炉渣原料车间卸料及正常生产作业时产生的恶臭气体。</w:t>
                  </w:r>
                </w:p>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102401"/>
                      <w:spacing w:val="0"/>
                      <w:sz w:val="18"/>
                      <w:szCs w:val="18"/>
                    </w:rPr>
                    <w:t>我局执法人员2023年3月21日00时40分至2时00分现场检查时，当事人炉渣原料车间有炉渣运输车正在进行卸料作业，但该原料车间配套的3#废气净化塔未运行。后经进一步调查发现，当事人自2022年10月开始调整废气控制系统电箱机房内废气净化塔启停时间参数设置，其中原料车间配套的3#废气净化塔开启时间设置为3时30分；而根据当事人提供的2023年1月至3月炉渣车运输记录台帐显示，自2023年1月1日至2023年3月31日，每天都有炉渣车运输车于当日3时30分前进入炉渣原料车间卸料，因原料车间配套的3#废气净化塔开启时间设置为每日3时30分，故在每日3时30分前进入炉渣原料车间的炉渣运输车均在3#废气净化塔未开启的情况下进行卸料，期间产生的恶臭气体直接排放。</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c>
                <w:tcPr>
                  <w:tcW w:w="0" w:type="auto"/>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处罚依据:</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102401"/>
                      <w:spacing w:val="0"/>
                      <w:sz w:val="18"/>
                      <w:szCs w:val="18"/>
                    </w:rPr>
                    <w:t>根据《中华人民共和国大气污染防治法》第九十九条第三项、《广东省生态环境行政处罚自由裁量权规定》附件1§3.5.1项和《广州市生态环境违法当事人公开道歉承诺守法从轻处罚暂行规定》第十三条第一款第二项的规定{（裁量起点10%+行为表现形式0%+排污情况0%+排污口所在区域0%+违法行为持续时间（15天以上）15%+近二年同类违法行为情况（含本次）0%+配合调查情况0%）×100万×60%=15万元}，我局现对当事人作出如下行政处罚：罚款15万元。</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0" w:type="auto"/>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处罚内容:</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kern w:val="0"/>
                      <w:sz w:val="18"/>
                      <w:szCs w:val="18"/>
                      <w:lang w:val="en-US" w:eastAsia="zh-CN" w:bidi="ar"/>
                    </w:rPr>
                    <w:t>详见处罚决定文书</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0" w:type="auto"/>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行政相对人名称:</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102401"/>
                      <w:spacing w:val="0"/>
                      <w:sz w:val="18"/>
                      <w:szCs w:val="18"/>
                    </w:rPr>
                    <w:t>广州环能再生资源有限公司</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0" w:type="auto"/>
                  <w:vMerge w:val="restart"/>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行政相对人代码:</w:t>
                  </w:r>
                </w:p>
              </w:tc>
              <w:tc>
                <w:tcPr>
                  <w:tcW w:w="10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统一社会信用代码</w:t>
                  </w:r>
                </w:p>
              </w:tc>
              <w:tc>
                <w:tcPr>
                  <w:tcW w:w="7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组织机构代码</w:t>
                  </w:r>
                </w:p>
              </w:tc>
              <w:tc>
                <w:tcPr>
                  <w:tcW w:w="675"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工商登记码</w:t>
                  </w:r>
                </w:p>
              </w:tc>
              <w:tc>
                <w:tcPr>
                  <w:tcW w:w="675"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税务登记号</w:t>
                  </w:r>
                </w:p>
              </w:tc>
              <w:tc>
                <w:tcPr>
                  <w:tcW w:w="10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事业单位证书号</w:t>
                  </w:r>
                </w:p>
              </w:tc>
              <w:tc>
                <w:tcPr>
                  <w:tcW w:w="1125"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社会组织登记证号</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0" w:type="auto"/>
                  <w:vMerge w:val="continue"/>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jc w:val="right"/>
                    <w:rPr>
                      <w:rFonts w:hint="eastAsia" w:ascii="微软雅黑" w:hAnsi="微软雅黑" w:eastAsia="微软雅黑" w:cs="微软雅黑"/>
                      <w:i w:val="0"/>
                      <w:iCs w:val="0"/>
                      <w:caps w:val="0"/>
                      <w:color w:val="102401"/>
                      <w:spacing w:val="0"/>
                      <w:sz w:val="18"/>
                      <w:szCs w:val="18"/>
                    </w:rPr>
                  </w:pPr>
                </w:p>
              </w:tc>
              <w:tc>
                <w:tcPr>
                  <w:tcW w:w="10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rFonts w:hint="eastAsia" w:ascii="微软雅黑" w:hAnsi="微软雅黑" w:eastAsia="微软雅黑" w:cs="微软雅黑"/>
                      <w:i w:val="0"/>
                      <w:iCs w:val="0"/>
                      <w:caps w:val="0"/>
                      <w:color w:val="102401"/>
                      <w:spacing w:val="0"/>
                      <w:sz w:val="18"/>
                      <w:szCs w:val="18"/>
                    </w:rPr>
                  </w:pPr>
                  <w:r>
                    <w:rPr>
                      <w:rFonts w:hint="eastAsia" w:ascii="微软雅黑" w:hAnsi="微软雅黑" w:eastAsia="微软雅黑" w:cs="微软雅黑"/>
                      <w:i w:val="0"/>
                      <w:iCs w:val="0"/>
                      <w:caps w:val="0"/>
                      <w:color w:val="102401"/>
                      <w:spacing w:val="0"/>
                      <w:sz w:val="18"/>
                      <w:szCs w:val="18"/>
                    </w:rPr>
                    <w:t>91440101MA5AQXUG9F</w:t>
                  </w:r>
                </w:p>
              </w:tc>
              <w:tc>
                <w:tcPr>
                  <w:tcW w:w="10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jc w:val="left"/>
                    <w:rPr>
                      <w:rFonts w:hint="eastAsia" w:ascii="微软雅黑" w:hAnsi="微软雅黑" w:eastAsia="微软雅黑" w:cs="微软雅黑"/>
                      <w:i w:val="0"/>
                      <w:iCs w:val="0"/>
                      <w:caps w:val="0"/>
                      <w:color w:val="102401"/>
                      <w:spacing w:val="0"/>
                      <w:sz w:val="18"/>
                      <w:szCs w:val="18"/>
                    </w:rPr>
                  </w:pPr>
                </w:p>
              </w:tc>
              <w:tc>
                <w:tcPr>
                  <w:tcW w:w="7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jc w:val="left"/>
                    <w:rPr>
                      <w:rFonts w:hint="eastAsia" w:ascii="微软雅黑" w:hAnsi="微软雅黑" w:eastAsia="微软雅黑" w:cs="微软雅黑"/>
                      <w:i w:val="0"/>
                      <w:iCs w:val="0"/>
                      <w:caps w:val="0"/>
                      <w:color w:val="102401"/>
                      <w:spacing w:val="0"/>
                      <w:sz w:val="18"/>
                      <w:szCs w:val="18"/>
                    </w:rPr>
                  </w:pPr>
                </w:p>
              </w:tc>
              <w:tc>
                <w:tcPr>
                  <w:tcW w:w="7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jc w:val="left"/>
                    <w:rPr>
                      <w:rFonts w:hint="eastAsia" w:ascii="微软雅黑" w:hAnsi="微软雅黑" w:eastAsia="微软雅黑" w:cs="微软雅黑"/>
                      <w:i w:val="0"/>
                      <w:iCs w:val="0"/>
                      <w:caps w:val="0"/>
                      <w:color w:val="102401"/>
                      <w:spacing w:val="0"/>
                      <w:sz w:val="18"/>
                      <w:szCs w:val="18"/>
                    </w:rPr>
                  </w:pPr>
                </w:p>
              </w:tc>
              <w:tc>
                <w:tcPr>
                  <w:tcW w:w="7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jc w:val="left"/>
                    <w:rPr>
                      <w:rFonts w:hint="eastAsia" w:ascii="微软雅黑" w:hAnsi="微软雅黑" w:eastAsia="微软雅黑" w:cs="微软雅黑"/>
                      <w:i w:val="0"/>
                      <w:iCs w:val="0"/>
                      <w:caps w:val="0"/>
                      <w:color w:val="102401"/>
                      <w:spacing w:val="0"/>
                      <w:sz w:val="18"/>
                      <w:szCs w:val="18"/>
                    </w:rPr>
                  </w:pPr>
                </w:p>
              </w:tc>
              <w:tc>
                <w:tcPr>
                  <w:tcW w:w="90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jc w:val="left"/>
                    <w:rPr>
                      <w:rFonts w:hint="eastAsia" w:ascii="微软雅黑" w:hAnsi="微软雅黑" w:eastAsia="微软雅黑" w:cs="微软雅黑"/>
                      <w:i w:val="0"/>
                      <w:iCs w:val="0"/>
                      <w:caps w:val="0"/>
                      <w:color w:val="102401"/>
                      <w:spacing w:val="0"/>
                      <w:sz w:val="18"/>
                      <w:szCs w:val="18"/>
                    </w:rPr>
                  </w:pP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法人代表姓名:</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微软雅黑" w:hAnsi="微软雅黑" w:eastAsia="微软雅黑" w:cs="微软雅黑"/>
                      <w:i w:val="0"/>
                      <w:iCs w:val="0"/>
                      <w:caps w:val="0"/>
                      <w:color w:val="102401"/>
                      <w:spacing w:val="0"/>
                      <w:sz w:val="18"/>
                      <w:szCs w:val="18"/>
                    </w:rPr>
                    <w:t>李伟</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法定代表人证件号码:</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微软雅黑" w:hAnsi="微软雅黑" w:eastAsia="微软雅黑" w:cs="微软雅黑"/>
                      <w:i w:val="0"/>
                      <w:iCs w:val="0"/>
                      <w:caps w:val="0"/>
                      <w:color w:val="102401"/>
                      <w:spacing w:val="0"/>
                      <w:kern w:val="0"/>
                      <w:sz w:val="18"/>
                      <w:szCs w:val="18"/>
                      <w:lang w:val="en-US" w:eastAsia="zh-CN" w:bidi="ar"/>
                    </w:rPr>
                    <w:t>450981***********3</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证件类型:</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jc w:val="left"/>
                    <w:rPr>
                      <w:rFonts w:hint="eastAsia" w:ascii="微软雅黑" w:hAnsi="微软雅黑" w:eastAsia="微软雅黑" w:cs="微软雅黑"/>
                      <w:i w:val="0"/>
                      <w:iCs w:val="0"/>
                      <w:caps w:val="0"/>
                      <w:color w:val="102401"/>
                      <w:spacing w:val="0"/>
                      <w:sz w:val="18"/>
                      <w:szCs w:val="18"/>
                    </w:rPr>
                  </w:pP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证件号码:</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jc w:val="left"/>
                    <w:rPr>
                      <w:rFonts w:hint="eastAsia" w:ascii="微软雅黑" w:hAnsi="微软雅黑" w:eastAsia="微软雅黑" w:cs="微软雅黑"/>
                      <w:i w:val="0"/>
                      <w:iCs w:val="0"/>
                      <w:caps w:val="0"/>
                      <w:color w:val="102401"/>
                      <w:spacing w:val="0"/>
                      <w:sz w:val="18"/>
                      <w:szCs w:val="18"/>
                    </w:rPr>
                  </w:pP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违法行为类型:</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102401"/>
                      <w:spacing w:val="0"/>
                      <w:sz w:val="18"/>
                      <w:szCs w:val="18"/>
                    </w:rPr>
                    <w:t>采取不正常运行大气污染防治设施方式排放大气污染物</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罚款金额（万元）:</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default" w:ascii="微软雅黑" w:hAnsi="微软雅黑" w:eastAsia="微软雅黑" w:cs="微软雅黑"/>
                      <w:i w:val="0"/>
                      <w:iCs w:val="0"/>
                      <w:caps w:val="0"/>
                      <w:color w:val="102401"/>
                      <w:spacing w:val="0"/>
                      <w:sz w:val="18"/>
                      <w:szCs w:val="18"/>
                      <w:lang w:val="en-US" w:eastAsia="zh-CN"/>
                    </w:rPr>
                  </w:pPr>
                  <w:r>
                    <w:rPr>
                      <w:rFonts w:hint="eastAsia" w:ascii="微软雅黑" w:hAnsi="微软雅黑" w:eastAsia="微软雅黑" w:cs="微软雅黑"/>
                      <w:i w:val="0"/>
                      <w:iCs w:val="0"/>
                      <w:caps w:val="0"/>
                      <w:color w:val="102401"/>
                      <w:spacing w:val="0"/>
                      <w:sz w:val="18"/>
                      <w:szCs w:val="18"/>
                      <w:lang w:val="en-US" w:eastAsia="zh-CN"/>
                    </w:rPr>
                    <w:t>15</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没收违法所得、没收非法财物的金额（万元）:</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jc w:val="left"/>
                    <w:rPr>
                      <w:rFonts w:hint="eastAsia" w:ascii="微软雅黑" w:hAnsi="微软雅黑" w:eastAsia="微软雅黑" w:cs="微软雅黑"/>
                      <w:i w:val="0"/>
                      <w:iCs w:val="0"/>
                      <w:caps w:val="0"/>
                      <w:color w:val="102401"/>
                      <w:spacing w:val="0"/>
                      <w:sz w:val="18"/>
                      <w:szCs w:val="18"/>
                    </w:rPr>
                  </w:pP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暂扣或吊销证照名称及编号:</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jc w:val="left"/>
                    <w:rPr>
                      <w:rFonts w:hint="eastAsia" w:ascii="微软雅黑" w:hAnsi="微软雅黑" w:eastAsia="微软雅黑" w:cs="微软雅黑"/>
                      <w:i w:val="0"/>
                      <w:iCs w:val="0"/>
                      <w:caps w:val="0"/>
                      <w:color w:val="102401"/>
                      <w:spacing w:val="0"/>
                      <w:sz w:val="18"/>
                      <w:szCs w:val="18"/>
                    </w:rPr>
                  </w:pP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处罚决定日期:</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default" w:ascii="微软雅黑" w:hAnsi="微软雅黑" w:eastAsia="宋体" w:cs="微软雅黑"/>
                      <w:i w:val="0"/>
                      <w:iCs w:val="0"/>
                      <w:caps w:val="0"/>
                      <w:color w:val="102401"/>
                      <w:spacing w:val="0"/>
                      <w:sz w:val="18"/>
                      <w:szCs w:val="18"/>
                      <w:lang w:val="en-US" w:eastAsia="zh-CN"/>
                    </w:rPr>
                  </w:pPr>
                  <w:r>
                    <w:rPr>
                      <w:rFonts w:hint="eastAsia" w:ascii="宋体" w:hAnsi="宋体" w:eastAsia="宋体" w:cs="宋体"/>
                      <w:i w:val="0"/>
                      <w:iCs w:val="0"/>
                      <w:caps w:val="0"/>
                      <w:color w:val="000000"/>
                      <w:spacing w:val="0"/>
                      <w:sz w:val="18"/>
                      <w:szCs w:val="18"/>
                    </w:rPr>
                    <w:t>20</w:t>
                  </w:r>
                  <w:r>
                    <w:rPr>
                      <w:rFonts w:hint="eastAsia" w:ascii="宋体" w:hAnsi="宋体" w:eastAsia="宋体" w:cs="宋体"/>
                      <w:i w:val="0"/>
                      <w:iCs w:val="0"/>
                      <w:caps w:val="0"/>
                      <w:color w:val="000000"/>
                      <w:spacing w:val="0"/>
                      <w:sz w:val="18"/>
                      <w:szCs w:val="18"/>
                      <w:lang w:val="en-US" w:eastAsia="zh-CN"/>
                    </w:rPr>
                    <w:t>23</w:t>
                  </w:r>
                  <w:r>
                    <w:rPr>
                      <w:rFonts w:hint="eastAsia" w:ascii="宋体" w:hAnsi="宋体" w:eastAsia="宋体" w:cs="宋体"/>
                      <w:i w:val="0"/>
                      <w:iCs w:val="0"/>
                      <w:caps w:val="0"/>
                      <w:color w:val="000000"/>
                      <w:spacing w:val="0"/>
                      <w:sz w:val="18"/>
                      <w:szCs w:val="18"/>
                    </w:rPr>
                    <w:t>/</w:t>
                  </w:r>
                  <w:r>
                    <w:rPr>
                      <w:rFonts w:hint="eastAsia" w:ascii="宋体" w:hAnsi="宋体" w:eastAsia="宋体" w:cs="宋体"/>
                      <w:i w:val="0"/>
                      <w:iCs w:val="0"/>
                      <w:caps w:val="0"/>
                      <w:color w:val="000000"/>
                      <w:spacing w:val="0"/>
                      <w:sz w:val="18"/>
                      <w:szCs w:val="18"/>
                      <w:lang w:val="en-US" w:eastAsia="zh-CN"/>
                    </w:rPr>
                    <w:t>10</w:t>
                  </w:r>
                  <w:r>
                    <w:rPr>
                      <w:rFonts w:hint="eastAsia" w:ascii="宋体" w:hAnsi="宋体" w:eastAsia="宋体" w:cs="宋体"/>
                      <w:i w:val="0"/>
                      <w:iCs w:val="0"/>
                      <w:caps w:val="0"/>
                      <w:color w:val="000000"/>
                      <w:spacing w:val="0"/>
                      <w:sz w:val="18"/>
                      <w:szCs w:val="18"/>
                    </w:rPr>
                    <w:t>/</w:t>
                  </w:r>
                  <w:r>
                    <w:rPr>
                      <w:rFonts w:hint="eastAsia" w:ascii="宋体" w:hAnsi="宋体" w:eastAsia="宋体" w:cs="宋体"/>
                      <w:i w:val="0"/>
                      <w:iCs w:val="0"/>
                      <w:caps w:val="0"/>
                      <w:color w:val="000000"/>
                      <w:spacing w:val="0"/>
                      <w:sz w:val="18"/>
                      <w:szCs w:val="18"/>
                      <w:lang w:val="en-US" w:eastAsia="zh-CN"/>
                    </w:rPr>
                    <w:t>18</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处罚有效期:</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sz w:val="18"/>
                      <w:szCs w:val="18"/>
                    </w:rPr>
                    <w:t>2099/12/31</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公示截止期:</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left"/>
                    <w:rPr>
                      <w:rFonts w:hint="default" w:ascii="微软雅黑" w:hAnsi="微软雅黑" w:eastAsia="宋体" w:cs="微软雅黑"/>
                      <w:i w:val="0"/>
                      <w:iCs w:val="0"/>
                      <w:caps w:val="0"/>
                      <w:color w:val="102401"/>
                      <w:spacing w:val="0"/>
                      <w:sz w:val="18"/>
                      <w:szCs w:val="18"/>
                      <w:lang w:val="en-US" w:eastAsia="zh-CN"/>
                    </w:rPr>
                  </w:pPr>
                  <w:r>
                    <w:rPr>
                      <w:rFonts w:hint="eastAsia" w:ascii="宋体" w:hAnsi="宋体" w:eastAsia="宋体" w:cs="宋体"/>
                      <w:i w:val="0"/>
                      <w:iCs w:val="0"/>
                      <w:caps w:val="0"/>
                      <w:color w:val="000000"/>
                      <w:spacing w:val="0"/>
                      <w:sz w:val="18"/>
                      <w:szCs w:val="18"/>
                    </w:rPr>
                    <w:t>20</w:t>
                  </w:r>
                  <w:r>
                    <w:rPr>
                      <w:rFonts w:hint="eastAsia" w:ascii="宋体" w:hAnsi="宋体" w:eastAsia="宋体" w:cs="宋体"/>
                      <w:i w:val="0"/>
                      <w:iCs w:val="0"/>
                      <w:caps w:val="0"/>
                      <w:color w:val="000000"/>
                      <w:spacing w:val="0"/>
                      <w:sz w:val="18"/>
                      <w:szCs w:val="18"/>
                      <w:lang w:val="en-US" w:eastAsia="zh-CN"/>
                    </w:rPr>
                    <w:t>26</w:t>
                  </w:r>
                  <w:r>
                    <w:rPr>
                      <w:rFonts w:hint="eastAsia" w:ascii="宋体" w:hAnsi="宋体" w:eastAsia="宋体" w:cs="宋体"/>
                      <w:i w:val="0"/>
                      <w:iCs w:val="0"/>
                      <w:caps w:val="0"/>
                      <w:color w:val="000000"/>
                      <w:spacing w:val="0"/>
                      <w:sz w:val="18"/>
                      <w:szCs w:val="18"/>
                    </w:rPr>
                    <w:t>/</w:t>
                  </w:r>
                  <w:r>
                    <w:rPr>
                      <w:rFonts w:hint="eastAsia" w:ascii="宋体" w:hAnsi="宋体" w:eastAsia="宋体" w:cs="宋体"/>
                      <w:i w:val="0"/>
                      <w:iCs w:val="0"/>
                      <w:caps w:val="0"/>
                      <w:color w:val="000000"/>
                      <w:spacing w:val="0"/>
                      <w:sz w:val="18"/>
                      <w:szCs w:val="18"/>
                      <w:lang w:val="en-US" w:eastAsia="zh-CN"/>
                    </w:rPr>
                    <w:t>10</w:t>
                  </w:r>
                  <w:r>
                    <w:rPr>
                      <w:rFonts w:hint="eastAsia" w:ascii="宋体" w:hAnsi="宋体" w:eastAsia="宋体" w:cs="宋体"/>
                      <w:i w:val="0"/>
                      <w:iCs w:val="0"/>
                      <w:caps w:val="0"/>
                      <w:color w:val="000000"/>
                      <w:spacing w:val="0"/>
                      <w:sz w:val="18"/>
                      <w:szCs w:val="18"/>
                    </w:rPr>
                    <w:t>/</w:t>
                  </w:r>
                  <w:r>
                    <w:rPr>
                      <w:rFonts w:hint="eastAsia" w:ascii="宋体" w:hAnsi="宋体" w:eastAsia="宋体" w:cs="宋体"/>
                      <w:i w:val="0"/>
                      <w:iCs w:val="0"/>
                      <w:caps w:val="0"/>
                      <w:color w:val="000000"/>
                      <w:spacing w:val="0"/>
                      <w:sz w:val="18"/>
                      <w:szCs w:val="18"/>
                      <w:lang w:val="en-US" w:eastAsia="zh-CN"/>
                    </w:rPr>
                    <w:t>18</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处罚机关:</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kern w:val="0"/>
                      <w:sz w:val="18"/>
                      <w:szCs w:val="18"/>
                      <w:lang w:val="en-US" w:eastAsia="zh-CN" w:bidi="ar"/>
                    </w:rPr>
                    <w:t>广州市生态环境局</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处罚机关统一社会信用代码:</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sz w:val="18"/>
                      <w:szCs w:val="18"/>
                    </w:rPr>
                    <w:t>11440100MB2C93184J</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数据来源单位:</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kern w:val="0"/>
                      <w:sz w:val="18"/>
                      <w:szCs w:val="18"/>
                      <w:lang w:val="en-US" w:eastAsia="zh-CN" w:bidi="ar"/>
                    </w:rPr>
                    <w:t>广州市生态环境局</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数据来源单位统一社会信用代码:</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sz w:val="18"/>
                      <w:szCs w:val="18"/>
                    </w:rPr>
                    <w:t>11440100MB2C93184J</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b/>
                      <w:bCs/>
                      <w:i w:val="0"/>
                      <w:iCs w:val="0"/>
                      <w:caps w:val="0"/>
                      <w:color w:val="000000"/>
                      <w:spacing w:val="0"/>
                      <w:kern w:val="0"/>
                      <w:sz w:val="18"/>
                      <w:szCs w:val="18"/>
                      <w:lang w:val="en-US" w:eastAsia="zh-CN" w:bidi="ar"/>
                    </w:rPr>
                    <w:t>备注:</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eastAsia" w:ascii="微软雅黑" w:hAnsi="微软雅黑" w:eastAsia="微软雅黑" w:cs="微软雅黑"/>
                      <w:i w:val="0"/>
                      <w:iCs w:val="0"/>
                      <w:caps w:val="0"/>
                      <w:color w:val="102401"/>
                      <w:spacing w:val="0"/>
                      <w:sz w:val="18"/>
                      <w:szCs w:val="18"/>
                    </w:rPr>
                  </w:pPr>
                  <w:r>
                    <w:rPr>
                      <w:rFonts w:hint="eastAsia" w:ascii="宋体" w:hAnsi="宋体" w:eastAsia="宋体" w:cs="宋体"/>
                      <w:i w:val="0"/>
                      <w:iCs w:val="0"/>
                      <w:caps w:val="0"/>
                      <w:color w:val="000000"/>
                      <w:spacing w:val="0"/>
                      <w:kern w:val="0"/>
                      <w:sz w:val="18"/>
                      <w:szCs w:val="18"/>
                      <w:lang w:val="en-US" w:eastAsia="zh-CN" w:bidi="ar"/>
                    </w:rPr>
                    <w:t>/</w:t>
                  </w:r>
                </w:p>
              </w:tc>
            </w:tr>
          </w:tbl>
          <w:p>
            <w:pPr>
              <w:jc w:val="center"/>
              <w:rPr>
                <w:rFonts w:ascii="微软雅黑" w:hAnsi="微软雅黑" w:eastAsia="微软雅黑" w:cs="微软雅黑"/>
                <w:i w:val="0"/>
                <w:iCs w:val="0"/>
                <w:caps w:val="0"/>
                <w:color w:val="000000"/>
                <w:spacing w:val="0"/>
                <w:sz w:val="27"/>
                <w:szCs w:val="27"/>
              </w:rPr>
            </w:pPr>
          </w:p>
        </w:tc>
      </w:tr>
      <w:tr>
        <w:tblPrEx>
          <w:shd w:val="clear" w:color="auto" w:fill="auto"/>
          <w:tblCellMar>
            <w:top w:w="0" w:type="dxa"/>
            <w:left w:w="0" w:type="dxa"/>
            <w:bottom w:w="0" w:type="dxa"/>
            <w:right w:w="0" w:type="dxa"/>
          </w:tblCellMar>
        </w:tblPrEx>
        <w:trPr>
          <w:tblCellSpacing w:w="0" w:type="dxa"/>
          <w:jc w:val="center"/>
        </w:trPr>
        <w:tc>
          <w:tcPr>
            <w:tcW w:w="0" w:type="auto"/>
            <w:shd w:val="clear" w:color="auto" w:fill="auto"/>
            <w:vAlign w:val="center"/>
          </w:tcPr>
          <w:p>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 </w:t>
            </w:r>
          </w:p>
          <w:p>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 </w:t>
            </w:r>
          </w:p>
          <w:p>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7"/>
                <w:szCs w:val="27"/>
              </w:rPr>
            </w:pPr>
            <w:r>
              <w:rPr>
                <w:rStyle w:val="8"/>
                <w:rFonts w:hint="eastAsia" w:ascii="微软雅黑" w:hAnsi="微软雅黑" w:eastAsia="微软雅黑" w:cs="微软雅黑"/>
                <w:i w:val="0"/>
                <w:iCs w:val="0"/>
                <w:caps w:val="0"/>
                <w:color w:val="000000"/>
                <w:spacing w:val="0"/>
                <w:kern w:val="0"/>
                <w:sz w:val="32"/>
                <w:szCs w:val="32"/>
                <w:lang w:val="en-US" w:eastAsia="zh-CN" w:bidi="ar"/>
              </w:rPr>
              <w:t>全文信息</w:t>
            </w:r>
          </w:p>
          <w:p>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 </w:t>
            </w:r>
          </w:p>
          <w:p>
            <w:pPr>
              <w:pStyle w:val="5"/>
              <w:keepNext w:val="0"/>
              <w:keepLines w:val="0"/>
              <w:widowControl/>
              <w:suppressLineNumbers w:val="0"/>
              <w:ind w:left="0" w:right="0"/>
              <w:jc w:val="right"/>
              <w:rPr>
                <w:rFonts w:hint="eastAsia" w:ascii="微软雅黑" w:hAnsi="微软雅黑" w:eastAsia="微软雅黑" w:cs="微软雅黑"/>
                <w:i w:val="0"/>
                <w:iCs w:val="0"/>
                <w:caps w:val="0"/>
                <w:color w:val="000000"/>
                <w:spacing w:val="0"/>
                <w:sz w:val="24"/>
                <w:szCs w:val="24"/>
                <w:lang w:eastAsia="zh-CN"/>
              </w:rPr>
            </w:pPr>
            <w:r>
              <w:rPr>
                <w:rFonts w:hint="eastAsia" w:ascii="微软雅黑" w:hAnsi="微软雅黑" w:eastAsia="微软雅黑" w:cs="微软雅黑"/>
                <w:i w:val="0"/>
                <w:iCs w:val="0"/>
                <w:caps w:val="0"/>
                <w:color w:val="000000"/>
                <w:spacing w:val="0"/>
                <w:sz w:val="24"/>
                <w:szCs w:val="24"/>
              </w:rPr>
              <w:t> </w:t>
            </w:r>
          </w:p>
          <w:p>
            <w:pPr>
              <w:pStyle w:val="5"/>
              <w:keepNext w:val="0"/>
              <w:keepLines w:val="0"/>
              <w:widowControl/>
              <w:suppressLineNumbers w:val="0"/>
              <w:ind w:left="0" w:right="0"/>
              <w:jc w:val="right"/>
            </w:pPr>
            <w:r>
              <w:rPr>
                <w:rFonts w:hint="eastAsia" w:ascii="微软雅黑" w:hAnsi="微软雅黑" w:eastAsia="微软雅黑" w:cs="微软雅黑"/>
                <w:i w:val="0"/>
                <w:iCs w:val="0"/>
                <w:caps w:val="0"/>
                <w:color w:val="000000"/>
                <w:spacing w:val="0"/>
                <w:sz w:val="24"/>
                <w:szCs w:val="24"/>
              </w:rPr>
              <w:t> </w:t>
            </w:r>
          </w:p>
          <w:p>
            <w:pPr>
              <w:pStyle w:val="5"/>
              <w:keepNext w:val="0"/>
              <w:keepLines w:val="0"/>
              <w:widowControl/>
              <w:suppressLineNumbers w:val="0"/>
              <w:ind w:left="0" w:right="0"/>
              <w:jc w:val="both"/>
            </w:pPr>
            <w:r>
              <w:rPr>
                <w:rFonts w:hint="eastAsia" w:ascii="微软雅黑" w:hAnsi="微软雅黑" w:eastAsia="微软雅黑" w:cs="微软雅黑"/>
                <w:i w:val="0"/>
                <w:iCs w:val="0"/>
                <w:caps w:val="0"/>
                <w:color w:val="000000"/>
                <w:spacing w:val="0"/>
                <w:sz w:val="27"/>
                <w:szCs w:val="27"/>
              </w:rPr>
              <w:t> </w:t>
            </w:r>
          </w:p>
          <w:p>
            <w:pPr>
              <w:pStyle w:val="5"/>
              <w:keepNext w:val="0"/>
              <w:keepLines w:val="0"/>
              <w:widowControl/>
              <w:suppressLineNumbers w:val="0"/>
              <w:ind w:left="0" w:right="0"/>
              <w:jc w:val="both"/>
            </w:pPr>
            <w:r>
              <w:rPr>
                <w:rFonts w:hint="eastAsia" w:ascii="微软雅黑" w:hAnsi="微软雅黑" w:eastAsia="微软雅黑" w:cs="微软雅黑"/>
                <w:i w:val="0"/>
                <w:iCs w:val="0"/>
                <w:caps w:val="0"/>
                <w:color w:val="000000"/>
                <w:spacing w:val="0"/>
                <w:sz w:val="27"/>
                <w:szCs w:val="27"/>
              </w:rPr>
              <w:t> </w:t>
            </w:r>
          </w:p>
          <w:p>
            <w:pPr>
              <w:pStyle w:val="5"/>
              <w:keepNext w:val="0"/>
              <w:keepLines w:val="0"/>
              <w:widowControl/>
              <w:suppressLineNumbers w:val="0"/>
              <w:ind w:left="0" w:right="0"/>
              <w:jc w:val="right"/>
            </w:pPr>
            <w:r>
              <w:rPr>
                <w:rFonts w:hint="eastAsia" w:ascii="仿宋_GB2312" w:hAnsi="仿宋_GB2312" w:eastAsia="仿宋_GB2312" w:cs="仿宋_GB2312"/>
                <w:i w:val="0"/>
                <w:iCs w:val="0"/>
                <w:caps w:val="0"/>
                <w:color w:val="102401"/>
                <w:spacing w:val="0"/>
                <w:sz w:val="32"/>
                <w:szCs w:val="32"/>
              </w:rPr>
              <w:t xml:space="preserve"> 穗环法罚〔2023〕7号</w:t>
            </w:r>
            <w:r>
              <w:rPr>
                <w:rFonts w:hint="eastAsia" w:ascii="微软雅黑" w:hAnsi="微软雅黑" w:eastAsia="微软雅黑" w:cs="微软雅黑"/>
                <w:i w:val="0"/>
                <w:iCs w:val="0"/>
                <w:caps w:val="0"/>
                <w:color w:val="000000"/>
                <w:spacing w:val="0"/>
                <w:sz w:val="27"/>
                <w:szCs w:val="27"/>
              </w:rPr>
              <w:t> </w:t>
            </w:r>
          </w:p>
          <w:p>
            <w:pPr>
              <w:pStyle w:val="5"/>
              <w:keepNext w:val="0"/>
              <w:keepLines w:val="0"/>
              <w:widowControl/>
              <w:suppressLineNumbers w:val="0"/>
              <w:ind w:left="0" w:right="0"/>
              <w:jc w:val="center"/>
            </w:pPr>
            <w:r>
              <w:rPr>
                <w:rFonts w:ascii="方正小标宋简体" w:hAnsi="方正小标宋简体" w:eastAsia="方正小标宋简体" w:cs="方正小标宋简体"/>
                <w:i w:val="0"/>
                <w:iCs w:val="0"/>
                <w:caps w:val="0"/>
                <w:color w:val="000000"/>
                <w:spacing w:val="0"/>
                <w:sz w:val="44"/>
                <w:szCs w:val="44"/>
              </w:rPr>
              <w:t>行政处罚决定书</w:t>
            </w:r>
          </w:p>
          <w:p>
            <w:pPr>
              <w:pStyle w:val="5"/>
              <w:keepNext w:val="0"/>
              <w:keepLines w:val="0"/>
              <w:widowControl/>
              <w:suppressLineNumbers w:val="0"/>
              <w:ind w:left="0" w:right="0"/>
              <w:jc w:val="both"/>
            </w:pPr>
            <w:r>
              <w:rPr>
                <w:rFonts w:hint="eastAsia" w:ascii="微软雅黑" w:hAnsi="微软雅黑" w:eastAsia="微软雅黑" w:cs="微软雅黑"/>
                <w:i w:val="0"/>
                <w:iCs w:val="0"/>
                <w:caps w:val="0"/>
                <w:color w:val="000000"/>
                <w:spacing w:val="0"/>
                <w:sz w:val="27"/>
                <w:szCs w:val="27"/>
              </w:rPr>
              <w:t> </w:t>
            </w:r>
          </w:p>
          <w:p>
            <w:pPr>
              <w:pStyle w:val="5"/>
              <w:keepNext w:val="0"/>
              <w:keepLines w:val="0"/>
              <w:widowControl/>
              <w:suppressLineNumbers w:val="0"/>
              <w:ind w:left="0" w:right="0"/>
              <w:jc w:val="both"/>
              <w:rPr>
                <w:rFonts w:hint="default" w:ascii="仿宋_GB2312" w:hAnsi="Times New Roman" w:eastAsia="仿宋_GB2312" w:cs="仿宋_GB2312"/>
                <w:i w:val="0"/>
                <w:iCs w:val="0"/>
                <w:caps w:val="0"/>
                <w:color w:val="000000"/>
                <w:spacing w:val="0"/>
                <w:sz w:val="32"/>
                <w:szCs w:val="32"/>
              </w:rPr>
            </w:pPr>
            <w:r>
              <w:rPr>
                <w:rFonts w:hint="default" w:ascii="仿宋_GB2312" w:hAnsi="Times New Roman" w:eastAsia="仿宋_GB2312" w:cs="仿宋_GB2312"/>
                <w:i w:val="0"/>
                <w:iCs w:val="0"/>
                <w:caps w:val="0"/>
                <w:color w:val="000000"/>
                <w:spacing w:val="0"/>
                <w:sz w:val="32"/>
                <w:szCs w:val="32"/>
              </w:rPr>
              <w:t>当事人名称（字号）：广州环能再生资源有限公司</w:t>
            </w:r>
          </w:p>
          <w:p>
            <w:pPr>
              <w:pStyle w:val="5"/>
              <w:keepNext w:val="0"/>
              <w:keepLines w:val="0"/>
              <w:widowControl/>
              <w:suppressLineNumbers w:val="0"/>
              <w:ind w:left="0" w:right="0"/>
              <w:jc w:val="both"/>
              <w:rPr>
                <w:rFonts w:hint="eastAsia" w:ascii="仿宋_GB2312" w:hAnsi="Times New Roman" w:eastAsia="仿宋_GB2312" w:cs="仿宋_GB2312"/>
                <w:i w:val="0"/>
                <w:iCs w:val="0"/>
                <w:caps w:val="0"/>
                <w:color w:val="000000"/>
                <w:spacing w:val="0"/>
                <w:sz w:val="32"/>
                <w:szCs w:val="32"/>
                <w:lang w:val="en-US" w:eastAsia="zh-CN"/>
              </w:rPr>
            </w:pPr>
            <w:r>
              <w:rPr>
                <w:rFonts w:hint="default" w:ascii="仿宋_GB2312" w:hAnsi="Times New Roman" w:eastAsia="仿宋_GB2312" w:cs="仿宋_GB2312"/>
                <w:i w:val="0"/>
                <w:iCs w:val="0"/>
                <w:caps w:val="0"/>
                <w:color w:val="000000"/>
                <w:spacing w:val="0"/>
                <w:sz w:val="32"/>
                <w:szCs w:val="32"/>
              </w:rPr>
              <w:t>统一社会信用代码：</w:t>
            </w:r>
            <w:r>
              <w:rPr>
                <w:rFonts w:hint="eastAsia" w:ascii="仿宋_GB2312" w:hAnsi="Times New Roman" w:eastAsia="仿宋_GB2312" w:cs="仿宋_GB2312"/>
                <w:i w:val="0"/>
                <w:iCs w:val="0"/>
                <w:caps w:val="0"/>
                <w:color w:val="000000"/>
                <w:spacing w:val="0"/>
                <w:sz w:val="32"/>
                <w:szCs w:val="32"/>
                <w:lang w:val="en-US" w:eastAsia="zh-CN"/>
              </w:rPr>
              <w:t>91440101MA5AQXUG9F</w:t>
            </w:r>
          </w:p>
          <w:p>
            <w:pPr>
              <w:pStyle w:val="5"/>
              <w:keepNext w:val="0"/>
              <w:keepLines w:val="0"/>
              <w:widowControl/>
              <w:suppressLineNumbers w:val="0"/>
              <w:ind w:left="0" w:right="0"/>
              <w:jc w:val="both"/>
              <w:rPr>
                <w:rFonts w:hint="eastAsia" w:eastAsia="仿宋_GB2312"/>
                <w:lang w:val="en-US" w:eastAsia="zh-CN"/>
              </w:rPr>
            </w:pPr>
            <w:r>
              <w:rPr>
                <w:rFonts w:hint="default" w:ascii="仿宋_GB2312" w:hAnsi="Times New Roman" w:eastAsia="仿宋_GB2312" w:cs="仿宋_GB2312"/>
                <w:i w:val="0"/>
                <w:iCs w:val="0"/>
                <w:caps w:val="0"/>
                <w:color w:val="000000"/>
                <w:spacing w:val="0"/>
                <w:sz w:val="32"/>
                <w:szCs w:val="32"/>
              </w:rPr>
              <w:t>登记地址：</w:t>
            </w:r>
            <w:r>
              <w:rPr>
                <w:rFonts w:hint="eastAsia" w:ascii="仿宋_GB2312" w:hAnsi="Times New Roman" w:eastAsia="仿宋_GB2312" w:cs="仿宋_GB2312"/>
                <w:i w:val="0"/>
                <w:iCs w:val="0"/>
                <w:caps w:val="0"/>
                <w:color w:val="000000"/>
                <w:spacing w:val="0"/>
                <w:sz w:val="32"/>
                <w:szCs w:val="32"/>
                <w:lang w:val="en-US" w:eastAsia="zh-CN"/>
              </w:rPr>
              <w:t>广州市白云区钟落潭镇登塘马潮中路28号101房</w:t>
            </w:r>
          </w:p>
          <w:p>
            <w:pPr>
              <w:spacing w:line="560" w:lineRule="exact"/>
              <w:ind w:firstLine="640" w:firstLineChars="200"/>
              <w:rPr>
                <w:rFonts w:hint="eastAsia" w:ascii="黑体" w:hAnsi="黑体" w:eastAsia="黑体"/>
                <w:color w:val="000000"/>
                <w:sz w:val="32"/>
                <w:szCs w:val="32"/>
              </w:rPr>
            </w:pPr>
            <w:r>
              <w:rPr>
                <w:rFonts w:hint="eastAsia" w:ascii="黑体" w:hAnsi="黑体" w:eastAsia="黑体"/>
                <w:color w:val="000000"/>
                <w:sz w:val="32"/>
                <w:szCs w:val="32"/>
              </w:rPr>
              <w:t>一、当事人基本情况及违法事实情况</w:t>
            </w:r>
          </w:p>
          <w:p>
            <w:pPr>
              <w:spacing w:line="560" w:lineRule="exact"/>
              <w:ind w:firstLine="640" w:firstLineChars="200"/>
              <w:rPr>
                <w:rFonts w:hint="eastAsia" w:eastAsia="仿宋_GB2312"/>
                <w:color w:val="000000"/>
                <w:sz w:val="32"/>
                <w:szCs w:val="32"/>
              </w:rPr>
            </w:pPr>
            <w:r>
              <w:rPr>
                <w:rFonts w:hint="eastAsia" w:eastAsia="仿宋_GB2312"/>
                <w:color w:val="000000"/>
                <w:sz w:val="32"/>
                <w:szCs w:val="32"/>
              </w:rPr>
              <w:t>当事人主要从事广州市××电厂炉渣综合处理的项目，已办理相关环保手续，其主要处理工艺包含上料、筛选、磁选、破碎、浮力重选、脱水等，主要设备有带式输送机、悬挂式电磁除铁器、锤式破碎机、锯齿波形跳汰机、摇床除铁器和震动脱水筛等。根据当事人提供的《广州市××电厂炉渣综合处理项目环境影响补充分析说明》，生活垃圾焚烧废气处理过程中，使用25%的氨水作为SNCR脱氮系统的还原剂，故垃圾焚烧炉渣会沾有少量氨水，氨水属于易挥发物质，在卸料及机械破碎阶段，炉渣翻滚后会挥发形成恶臭，因此当事人共设置5套废气净化塔（酸雾喷淋）处理车间产生的恶臭气体，其中3#废气净化塔处理炉渣原料车间卸料及正常生产作业时产生的恶臭气体。</w:t>
            </w:r>
          </w:p>
          <w:p>
            <w:pPr>
              <w:spacing w:line="560" w:lineRule="exact"/>
              <w:ind w:firstLine="640" w:firstLineChars="200"/>
              <w:rPr>
                <w:rFonts w:hint="eastAsia" w:eastAsia="仿宋_GB2312"/>
                <w:color w:val="000000"/>
                <w:sz w:val="32"/>
                <w:szCs w:val="32"/>
              </w:rPr>
            </w:pPr>
            <w:r>
              <w:rPr>
                <w:rFonts w:hint="eastAsia" w:eastAsia="仿宋_GB2312"/>
                <w:color w:val="000000"/>
                <w:sz w:val="32"/>
                <w:szCs w:val="32"/>
              </w:rPr>
              <w:t>我局执法人员2023年3月21日00时40分至2时00分现场检查时，当事人炉渣原料车间有炉渣运输车正在进行卸料作业，但该原料车间配套的3#废气净化塔未运行。后经进一步调查发现，当事人自2022年10月开始调整废气控制系统电箱机房内废气净化塔启停时间参数设置，其中原料车间配套的3#废气净化塔开启时间设置为3时30分；而根据当事人提供的2023年1月至3月炉渣车运输记录台帐显示，自2023年1月1日至2023年3月31日，每天都有炉渣车运输车于当日3时30分前进入炉渣原料车间卸料，因原料车间配套的3#废气净化塔开启时间设置为每日3时30分，故在每日3时30分前进入炉渣原料车间的炉渣运输车均在3#废气净化塔未开启的情况下进行卸料，期间产生的恶臭气体直接排放。</w:t>
            </w:r>
          </w:p>
          <w:p>
            <w:pPr>
              <w:spacing w:line="560" w:lineRule="exact"/>
              <w:ind w:firstLine="640" w:firstLineChars="200"/>
              <w:rPr>
                <w:rFonts w:hint="eastAsia" w:eastAsia="仿宋_GB2312"/>
                <w:color w:val="000000"/>
                <w:sz w:val="32"/>
                <w:szCs w:val="32"/>
              </w:rPr>
            </w:pPr>
            <w:r>
              <w:rPr>
                <w:rFonts w:hint="eastAsia" w:eastAsia="仿宋_GB2312"/>
                <w:color w:val="000000"/>
                <w:sz w:val="32"/>
                <w:szCs w:val="32"/>
              </w:rPr>
              <w:t>以上事实，有《现场检查笔录》《调查询问笔录》《广州市××电厂炉渣综合处理项目环境影响补充分析说明》《广州市××电厂炉渣综合处理项目环境保护设施验收工作组意见》《2023年1-3月炉渣车运输记录》《营业执照（副本）》《监测报告》及现场照片等证据材料予以证实。</w:t>
            </w:r>
          </w:p>
          <w:p>
            <w:pPr>
              <w:spacing w:line="560" w:lineRule="exact"/>
              <w:ind w:firstLine="640" w:firstLineChars="200"/>
              <w:rPr>
                <w:rFonts w:ascii="黑体" w:hAnsi="黑体" w:eastAsia="黑体"/>
                <w:color w:val="000000"/>
                <w:sz w:val="32"/>
                <w:szCs w:val="32"/>
              </w:rPr>
            </w:pPr>
            <w:r>
              <w:rPr>
                <w:rFonts w:hint="eastAsia" w:ascii="黑体" w:hAnsi="黑体" w:eastAsia="黑体"/>
                <w:color w:val="000000"/>
                <w:sz w:val="32"/>
                <w:szCs w:val="32"/>
              </w:rPr>
              <w:t>二、规范依据、拟处罚告知及意见采纳情况及处罚内容</w:t>
            </w:r>
          </w:p>
          <w:p>
            <w:pPr>
              <w:spacing w:line="560" w:lineRule="exact"/>
              <w:ind w:firstLine="640" w:firstLineChars="200"/>
              <w:rPr>
                <w:rFonts w:hint="eastAsia" w:ascii="仿宋_GB2312" w:hAnsi="仿宋" w:eastAsia="仿宋_GB2312"/>
                <w:color w:val="000000"/>
                <w:sz w:val="32"/>
                <w:szCs w:val="32"/>
              </w:rPr>
            </w:pPr>
            <w:r>
              <w:rPr>
                <w:rFonts w:hint="eastAsia" w:ascii="仿宋_GB2312" w:hAnsi="仿宋" w:eastAsia="仿宋_GB2312"/>
                <w:color w:val="000000"/>
                <w:sz w:val="32"/>
                <w:szCs w:val="32"/>
              </w:rPr>
              <w:t xml:space="preserve">当事人上述行为违反了《中华人民共和国大气污染防治法》第二十条第二款的规定，根据《中华人民共和国大气污染防治法》第九十九条第三项及《广东省生态环境行政处罚自由裁量权规定》附件1§3.5.1项规定，我局于2023年9月4日向当事人送达《行政处罚听证告知书》（穗环罚告〔2023〕9号）和申请公开道歉、承诺守法从轻处罚的操作指南材料，告知当事人拟作出的处罚内容及事实、理由、依据，并告知了陈述、申辩的权利。当事人未向我局申请听证，于2023年9月4日、9月7日分别向我局提交了公开道歉承诺守法从轻处罚申请书和陈述申辩书。当事人提出的主要意见如下：2023年3月21日已将原料车间配套的3#废气净化塔启停时间参数重新设置。同时进行了更加细致化的工作，一是同步环保设备运行信息；二是优化厂房密封性。此外，企业经营举步维艰，恳请从轻或免于处罚。 </w:t>
            </w:r>
          </w:p>
          <w:p>
            <w:pPr>
              <w:spacing w:line="560" w:lineRule="exact"/>
              <w:ind w:firstLine="640" w:firstLineChars="200"/>
              <w:rPr>
                <w:rFonts w:hint="eastAsia" w:ascii="仿宋_GB2312" w:hAnsi="仿宋" w:eastAsia="仿宋_GB2312"/>
                <w:color w:val="000000"/>
                <w:sz w:val="32"/>
                <w:szCs w:val="32"/>
              </w:rPr>
            </w:pPr>
            <w:r>
              <w:rPr>
                <w:rFonts w:hint="eastAsia" w:ascii="仿宋_GB2312" w:hAnsi="仿宋" w:eastAsia="仿宋_GB2312"/>
                <w:color w:val="000000"/>
                <w:sz w:val="32"/>
                <w:szCs w:val="32"/>
              </w:rPr>
              <w:t>经审查，我局认为，当事人采取不正常运行大气污染防治设施方式排放大气污染物的事实清楚，应予处罚。但考虑到当事人已作出公开道歉守法承诺，且经现场复核确实采取了一定的整改措施，以及保障“六稳”“六保”和落实国家关于促进民营经济发展壮大最新政策工作需要，我局决定部分采纳当事人的申辩意见，在告知罚款金额基础上酌情减少处罚金额。现本案经我局审查结束。</w:t>
            </w:r>
          </w:p>
          <w:p>
            <w:pPr>
              <w:spacing w:line="560" w:lineRule="exact"/>
              <w:ind w:firstLine="640" w:firstLineChars="200"/>
              <w:rPr>
                <w:rFonts w:hint="eastAsia" w:ascii="仿宋_GB2312" w:hAnsi="仿宋" w:eastAsia="仿宋_GB2312"/>
                <w:color w:val="000000"/>
                <w:sz w:val="32"/>
                <w:szCs w:val="32"/>
              </w:rPr>
            </w:pPr>
            <w:r>
              <w:rPr>
                <w:rFonts w:hint="eastAsia" w:ascii="仿宋_GB2312" w:hAnsi="仿宋" w:eastAsia="仿宋_GB2312"/>
                <w:color w:val="000000"/>
                <w:sz w:val="32"/>
                <w:szCs w:val="32"/>
              </w:rPr>
              <w:t>根据《中华人民共和国大气污染防治法》第九十九条第三项、《广东省生态环境行政处罚自由裁量权规定》附件1§3.5.1项和《广州市生态环境违法当事人公开道歉承诺守法从轻处罚暂行规定》第十三条第一款第二项的规定{（裁量起点10%+行为表现形式0%+排污情况0%+排污口所在区域0%+违法行为持续时间（15天以上）15%+近二年同类违法行为情况（含本次）0%+配合调查情况0%）×100万×60%=15万元}，我局现对当事人作出如下行政处罚：</w:t>
            </w:r>
          </w:p>
          <w:p>
            <w:pPr>
              <w:spacing w:line="560" w:lineRule="exact"/>
              <w:ind w:firstLine="640" w:firstLineChars="200"/>
              <w:rPr>
                <w:rFonts w:hint="eastAsia" w:ascii="仿宋_GB2312" w:hAnsi="仿宋" w:eastAsia="仿宋_GB2312"/>
                <w:color w:val="000000"/>
                <w:sz w:val="32"/>
                <w:szCs w:val="32"/>
              </w:rPr>
            </w:pPr>
          </w:p>
          <w:p>
            <w:pPr>
              <w:spacing w:line="560" w:lineRule="exact"/>
              <w:ind w:firstLine="640" w:firstLineChars="200"/>
              <w:rPr>
                <w:rFonts w:hint="eastAsia" w:ascii="仿宋_GB2312" w:hAnsi="仿宋" w:eastAsia="仿宋_GB2312"/>
                <w:color w:val="000000"/>
                <w:sz w:val="32"/>
                <w:szCs w:val="32"/>
              </w:rPr>
            </w:pPr>
            <w:r>
              <w:rPr>
                <w:rFonts w:hint="eastAsia" w:ascii="仿宋_GB2312" w:hAnsi="仿宋" w:eastAsia="仿宋_GB2312"/>
                <w:color w:val="000000"/>
                <w:sz w:val="32"/>
                <w:szCs w:val="32"/>
              </w:rPr>
              <w:t>罚款15万元。</w:t>
            </w:r>
          </w:p>
          <w:p>
            <w:pPr>
              <w:spacing w:line="560" w:lineRule="exact"/>
              <w:ind w:firstLine="640" w:firstLineChars="200"/>
              <w:rPr>
                <w:rFonts w:ascii="黑体" w:hAnsi="黑体" w:eastAsia="黑体"/>
                <w:color w:val="000000"/>
                <w:sz w:val="32"/>
                <w:szCs w:val="32"/>
              </w:rPr>
            </w:pPr>
            <w:r>
              <w:rPr>
                <w:rFonts w:hint="eastAsia" w:ascii="黑体" w:hAnsi="黑体" w:eastAsia="黑体"/>
                <w:color w:val="000000"/>
                <w:sz w:val="32"/>
                <w:szCs w:val="32"/>
              </w:rPr>
              <w:t>三、处罚内容的履行要求和当事人的救济权利</w:t>
            </w:r>
          </w:p>
          <w:p>
            <w:pPr>
              <w:pStyle w:val="2"/>
              <w:tabs>
                <w:tab w:val="left" w:pos="7382"/>
                <w:tab w:val="left" w:pos="7982"/>
              </w:tabs>
              <w:spacing w:line="560" w:lineRule="exact"/>
              <w:ind w:firstLine="640" w:firstLineChars="200"/>
              <w:jc w:val="both"/>
              <w:rPr>
                <w:rFonts w:hint="eastAsia" w:ascii="Times New Roman" w:hAnsi="Times New Roman" w:eastAsia="仿宋_GB2312" w:cs="Times New Roman"/>
                <w:color w:val="000000"/>
                <w:kern w:val="0"/>
                <w:sz w:val="32"/>
                <w:szCs w:val="32"/>
                <w:lang w:val="en-US" w:eastAsia="zh-CN" w:bidi="ar-SA"/>
              </w:rPr>
            </w:pPr>
            <w:r>
              <w:rPr>
                <w:rFonts w:hint="eastAsia" w:ascii="Times New Roman" w:hAnsi="Times New Roman" w:eastAsia="仿宋_GB2312" w:cs="Times New Roman"/>
                <w:color w:val="000000"/>
                <w:kern w:val="0"/>
                <w:sz w:val="32"/>
                <w:szCs w:val="32"/>
                <w:lang w:val="en-US" w:eastAsia="zh-CN" w:bidi="ar-SA"/>
              </w:rPr>
              <w:t>限当事人在收到本处罚决定书之日起</w:t>
            </w:r>
            <w:r>
              <w:rPr>
                <w:rFonts w:ascii="Times New Roman" w:hAnsi="Times New Roman" w:eastAsia="仿宋_GB2312" w:cs="Times New Roman"/>
                <w:color w:val="000000"/>
                <w:kern w:val="0"/>
                <w:sz w:val="32"/>
                <w:szCs w:val="32"/>
                <w:lang w:val="en-US" w:eastAsia="zh-CN" w:bidi="ar-SA"/>
              </w:rPr>
              <w:t>15</w:t>
            </w:r>
            <w:r>
              <w:rPr>
                <w:rFonts w:hint="eastAsia" w:ascii="Times New Roman" w:hAnsi="Times New Roman" w:eastAsia="仿宋_GB2312" w:cs="Times New Roman"/>
                <w:color w:val="000000"/>
                <w:kern w:val="0"/>
                <w:sz w:val="32"/>
                <w:szCs w:val="32"/>
                <w:lang w:val="en-US" w:eastAsia="zh-CN" w:bidi="ar-SA"/>
              </w:rPr>
              <w:t>日内，按照《广东省非税收入一般缴款书》的要求，将上述罚款缴到非税收入代收银行（工商银行、建设银行、广州银行、广州农村商业银行、中国银行、农业银行、邮政储蓄银行、交通银行、光大银行、中信银行、广发银行、浦发银行、华夏银行、招商银行、民生银行、兴业银行、平安银行、广东华兴银行、创兴银行、浙商银行、华润银行、东莞银行、南粤银行），收入项目编码：</w:t>
            </w:r>
            <w:r>
              <w:rPr>
                <w:rFonts w:hint="eastAsia" w:ascii="Times New Roman" w:hAnsi="Times New Roman" w:eastAsia="仿宋_GB2312" w:cs="Times New Roman"/>
                <w:color w:val="000000"/>
                <w:sz w:val="32"/>
                <w:szCs w:val="32"/>
                <w:lang w:val="en-US" w:eastAsia="zh-CN"/>
              </w:rPr>
              <w:t>103050125100</w:t>
            </w:r>
            <w:r>
              <w:rPr>
                <w:rFonts w:hint="eastAsia" w:ascii="Times New Roman" w:hAnsi="Times New Roman" w:eastAsia="仿宋_GB2312" w:cs="Times New Roman"/>
                <w:color w:val="000000"/>
                <w:kern w:val="0"/>
                <w:sz w:val="32"/>
                <w:szCs w:val="32"/>
                <w:lang w:val="en-US" w:eastAsia="zh-CN" w:bidi="ar-SA"/>
              </w:rPr>
              <w:t>。</w:t>
            </w:r>
          </w:p>
          <w:p>
            <w:pPr>
              <w:pStyle w:val="2"/>
              <w:numPr>
                <w:ilvl w:val="0"/>
                <w:numId w:val="0"/>
              </w:numPr>
              <w:tabs>
                <w:tab w:val="left" w:pos="7382"/>
                <w:tab w:val="left" w:pos="7982"/>
              </w:tabs>
              <w:spacing w:line="560" w:lineRule="exact"/>
              <w:ind w:firstLine="640" w:firstLineChars="200"/>
              <w:jc w:val="both"/>
              <w:rPr>
                <w:rFonts w:hint="eastAsia" w:ascii="Times New Roman" w:hAnsi="Times New Roman" w:eastAsia="仿宋_GB2312" w:cs="Times New Roman"/>
                <w:color w:val="000000"/>
                <w:kern w:val="0"/>
                <w:sz w:val="32"/>
                <w:szCs w:val="32"/>
                <w:lang w:val="en-US" w:eastAsia="zh-CN" w:bidi="ar-SA"/>
              </w:rPr>
            </w:pPr>
            <w:r>
              <w:rPr>
                <w:rFonts w:hint="eastAsia" w:ascii="Times New Roman" w:hAnsi="Times New Roman" w:eastAsia="仿宋_GB2312" w:cs="Times New Roman"/>
                <w:color w:val="000000"/>
                <w:sz w:val="32"/>
                <w:szCs w:val="32"/>
                <w:lang w:val="en-US"/>
              </w:rPr>
              <w:t>根据《中华人民共和国行政处罚法》第七十二条规定，当事人逾期不履行上述处罚决定内容的，我局将每日按罚款额的百分之三加处罚款，并依照《中华人民共和国行政强制法》的规定申请人民法院强制执行。</w:t>
            </w:r>
          </w:p>
          <w:p>
            <w:pPr>
              <w:spacing w:line="560" w:lineRule="exact"/>
              <w:ind w:firstLine="640" w:firstLineChars="200"/>
              <w:rPr>
                <w:rFonts w:hint="eastAsia" w:ascii="仿宋_GB2312" w:eastAsia="仿宋_GB2312"/>
                <w:color w:val="000000"/>
                <w:sz w:val="32"/>
                <w:szCs w:val="32"/>
              </w:rPr>
            </w:pPr>
            <w:r>
              <w:rPr>
                <w:rFonts w:hint="eastAsia" w:ascii="Times New Roman" w:hAnsi="Times New Roman" w:eastAsia="仿宋_GB2312" w:cs="Times New Roman"/>
                <w:color w:val="000000"/>
                <w:sz w:val="32"/>
                <w:szCs w:val="32"/>
                <w:lang w:val="en-US"/>
              </w:rPr>
              <w:t>如不服上述行政处罚决定，可在收到文书之日起60日内向广州市人民政府行政复议机构广州市政府行政复议办公室窗口（地址:广州市越秀区小北路183号金和大厦2楼，电话:020-83555988）或广东省生态环境厅（地址：天河区龙口西路213号，电话：020-87533928、87531656）申请行政复议；或者在收到文书之日起6个月内直接向广州铁路运输法院提起行政诉讼。根据《广东省人民政府关于县级以上人民政府统一行使行政复议职责有关事项的通告》（粤府函〔2021〕99号）的规定，自2021年6月1日起县级以上人民政府统一行使行政复议职责，建议您向广州市人民政府行政复议机构提出行政复议申请。申请行政复议或提起行政诉讼的，不停止本决定的执行。</w:t>
            </w:r>
          </w:p>
          <w:p>
            <w:pPr>
              <w:spacing w:line="560" w:lineRule="exact"/>
              <w:ind w:right="960"/>
              <w:rPr>
                <w:rFonts w:hint="eastAsia" w:eastAsia="仿宋_GB2312"/>
                <w:color w:val="000000"/>
                <w:sz w:val="32"/>
                <w:szCs w:val="32"/>
              </w:rPr>
            </w:pPr>
          </w:p>
          <w:p>
            <w:pPr>
              <w:spacing w:line="560" w:lineRule="exact"/>
              <w:ind w:right="960"/>
              <w:rPr>
                <w:rFonts w:hint="eastAsia" w:eastAsia="仿宋_GB2312"/>
                <w:color w:val="000000"/>
                <w:sz w:val="32"/>
                <w:szCs w:val="32"/>
              </w:rPr>
            </w:pPr>
          </w:p>
          <w:p>
            <w:pPr>
              <w:spacing w:line="560" w:lineRule="exact"/>
              <w:ind w:right="1330"/>
              <w:jc w:val="right"/>
              <w:rPr>
                <w:rFonts w:hint="eastAsia" w:eastAsia="仿宋_GB2312"/>
                <w:color w:val="000000"/>
                <w:sz w:val="32"/>
                <w:szCs w:val="32"/>
              </w:rPr>
            </w:pPr>
            <w:r>
              <w:rPr>
                <w:rFonts w:hint="eastAsia" w:eastAsia="仿宋_GB2312"/>
                <w:color w:val="000000"/>
                <w:sz w:val="32"/>
                <w:szCs w:val="32"/>
              </w:rPr>
              <w:t xml:space="preserve">   广州市生态环境局</w:t>
            </w:r>
          </w:p>
          <w:p>
            <w:pPr>
              <w:spacing w:line="560" w:lineRule="exact"/>
              <w:ind w:right="1330"/>
              <w:jc w:val="right"/>
              <w:rPr>
                <w:rFonts w:hint="eastAsia" w:eastAsia="仿宋_GB2312"/>
                <w:color w:val="000000"/>
                <w:sz w:val="32"/>
                <w:szCs w:val="32"/>
              </w:rPr>
            </w:pPr>
            <w:r>
              <w:rPr>
                <w:rFonts w:hint="eastAsia" w:eastAsia="仿宋_GB2312"/>
                <w:color w:val="000000"/>
                <w:sz w:val="32"/>
                <w:szCs w:val="32"/>
              </w:rPr>
              <w:t>202</w:t>
            </w:r>
            <w:r>
              <w:rPr>
                <w:rFonts w:hint="eastAsia" w:eastAsia="仿宋_GB2312"/>
                <w:color w:val="000000"/>
                <w:sz w:val="32"/>
                <w:szCs w:val="32"/>
                <w:lang w:val="en-US" w:eastAsia="zh-CN"/>
              </w:rPr>
              <w:t>3</w:t>
            </w:r>
            <w:r>
              <w:rPr>
                <w:rFonts w:hint="eastAsia" w:eastAsia="仿宋_GB2312"/>
                <w:color w:val="000000"/>
                <w:sz w:val="32"/>
                <w:szCs w:val="32"/>
              </w:rPr>
              <w:t>年</w:t>
            </w:r>
            <w:r>
              <w:rPr>
                <w:rFonts w:hint="eastAsia" w:eastAsia="仿宋_GB2312"/>
                <w:color w:val="000000"/>
                <w:sz w:val="32"/>
                <w:szCs w:val="32"/>
                <w:lang w:val="en-US" w:eastAsia="zh-CN"/>
              </w:rPr>
              <w:t>10</w:t>
            </w:r>
            <w:r>
              <w:rPr>
                <w:rFonts w:hint="eastAsia" w:eastAsia="仿宋_GB2312"/>
                <w:color w:val="000000"/>
                <w:sz w:val="32"/>
                <w:szCs w:val="32"/>
              </w:rPr>
              <w:t>月</w:t>
            </w:r>
            <w:r>
              <w:rPr>
                <w:rFonts w:hint="eastAsia" w:eastAsia="仿宋_GB2312"/>
                <w:color w:val="000000"/>
                <w:sz w:val="32"/>
                <w:szCs w:val="32"/>
                <w:lang w:val="en-US" w:eastAsia="zh-CN"/>
              </w:rPr>
              <w:t>1</w:t>
            </w:r>
            <w:bookmarkStart w:id="0" w:name="_GoBack"/>
            <w:bookmarkEnd w:id="0"/>
            <w:r>
              <w:rPr>
                <w:rFonts w:hint="eastAsia" w:eastAsia="仿宋_GB2312"/>
                <w:color w:val="000000"/>
                <w:sz w:val="32"/>
                <w:szCs w:val="32"/>
                <w:lang w:val="en-US" w:eastAsia="zh-CN"/>
              </w:rPr>
              <w:t>8</w:t>
            </w:r>
            <w:r>
              <w:rPr>
                <w:rFonts w:hint="eastAsia" w:eastAsia="仿宋_GB2312"/>
                <w:color w:val="000000"/>
                <w:sz w:val="32"/>
                <w:szCs w:val="32"/>
              </w:rPr>
              <w:t>日</w:t>
            </w:r>
          </w:p>
          <w:p>
            <w:pPr>
              <w:spacing w:line="560" w:lineRule="exact"/>
              <w:ind w:right="1330"/>
              <w:jc w:val="right"/>
              <w:rPr>
                <w:rFonts w:hint="eastAsia" w:eastAsia="仿宋_GB2312"/>
                <w:color w:val="000000"/>
                <w:sz w:val="32"/>
                <w:szCs w:val="32"/>
              </w:rPr>
            </w:pPr>
          </w:p>
          <w:p>
            <w:pPr>
              <w:spacing w:line="560" w:lineRule="exact"/>
              <w:ind w:right="1330"/>
              <w:jc w:val="right"/>
              <w:rPr>
                <w:rFonts w:hint="eastAsia" w:eastAsia="仿宋_GB2312"/>
                <w:color w:val="000000"/>
                <w:sz w:val="32"/>
                <w:szCs w:val="32"/>
              </w:rPr>
            </w:pPr>
          </w:p>
          <w:p>
            <w:pPr>
              <w:pStyle w:val="5"/>
              <w:keepNext w:val="0"/>
              <w:keepLines w:val="0"/>
              <w:widowControl/>
              <w:suppressLineNumbers w:val="0"/>
              <w:ind w:left="0" w:right="0"/>
              <w:jc w:val="left"/>
              <w:rPr>
                <w:rFonts w:hint="eastAsia" w:eastAsia="仿宋_GB2312"/>
                <w:color w:val="000000"/>
                <w:sz w:val="32"/>
                <w:szCs w:val="32"/>
              </w:rPr>
            </w:pPr>
            <w:r>
              <w:rPr>
                <w:rFonts w:hint="eastAsia" w:eastAsia="仿宋_GB2312"/>
                <w:color w:val="000000"/>
                <w:sz w:val="32"/>
                <w:szCs w:val="32"/>
              </w:rPr>
              <w:t>公开方式：主动公开</w:t>
            </w:r>
          </w:p>
          <w:p>
            <w:pPr>
              <w:pStyle w:val="5"/>
              <w:keepNext w:val="0"/>
              <w:keepLines w:val="0"/>
              <w:widowControl/>
              <w:suppressLineNumbers w:val="0"/>
              <w:ind w:left="0" w:right="0"/>
              <w:jc w:val="left"/>
              <w:rPr>
                <w:rFonts w:hint="eastAsia" w:eastAsia="仿宋_GB2312"/>
                <w:color w:val="000000"/>
                <w:sz w:val="32"/>
                <w:szCs w:val="32"/>
              </w:rPr>
            </w:pP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Helvetica">
    <w:altName w:val="Arial"/>
    <w:panose1 w:val="00000000000000000000"/>
    <w:charset w:val="00"/>
    <w:family w:val="auto"/>
    <w:pitch w:val="default"/>
    <w:sig w:usb0="00000000" w:usb1="00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U0ODljOGM5ZmQ5ZmEyZDBkMDViNzAzNjQ4YjZkZTgifQ=="/>
  </w:docVars>
  <w:rsids>
    <w:rsidRoot w:val="10F36F61"/>
    <w:rsid w:val="017C3964"/>
    <w:rsid w:val="033B6D65"/>
    <w:rsid w:val="069426AD"/>
    <w:rsid w:val="0B222BD7"/>
    <w:rsid w:val="0EE03393"/>
    <w:rsid w:val="10F36F61"/>
    <w:rsid w:val="1E0A45E8"/>
    <w:rsid w:val="25FA4432"/>
    <w:rsid w:val="2BC27109"/>
    <w:rsid w:val="38EA696B"/>
    <w:rsid w:val="3F6566D9"/>
    <w:rsid w:val="437C7B4A"/>
    <w:rsid w:val="450917AA"/>
    <w:rsid w:val="486B0AF5"/>
    <w:rsid w:val="4EF70E0B"/>
    <w:rsid w:val="50241640"/>
    <w:rsid w:val="54642F58"/>
    <w:rsid w:val="55216B63"/>
    <w:rsid w:val="5E543F8E"/>
    <w:rsid w:val="60E17495"/>
    <w:rsid w:val="66F21D0B"/>
    <w:rsid w:val="67042F49"/>
    <w:rsid w:val="73E1530F"/>
    <w:rsid w:val="77A147E9"/>
    <w:rsid w:val="7B3F4D70"/>
    <w:rsid w:val="7E634C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 w:type="character" w:styleId="9">
    <w:name w:val="page number"/>
    <w:basedOn w:val="7"/>
    <w:qFormat/>
    <w:uiPriority w:val="0"/>
  </w:style>
  <w:style w:type="character" w:customStyle="1" w:styleId="10">
    <w:name w:val="col-title1"/>
    <w:basedOn w:val="7"/>
    <w:qFormat/>
    <w:uiPriority w:val="0"/>
    <w:rPr>
      <w:rFonts w:hint="eastAsia" w:ascii="宋体" w:hAnsi="宋体" w:eastAsia="宋体" w:cs="宋体"/>
      <w:b/>
      <w:bCs/>
      <w:color w:val="000000"/>
    </w:rPr>
  </w:style>
  <w:style w:type="character" w:customStyle="1" w:styleId="11">
    <w:name w:val="col-content1"/>
    <w:basedOn w:val="7"/>
    <w:qFormat/>
    <w:uiPriority w:val="0"/>
    <w:rPr>
      <w:rFonts w:hint="eastAsia" w:ascii="宋体" w:hAnsi="宋体" w:eastAsia="宋体" w:cs="宋体"/>
      <w:color w:val="00000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3014</Words>
  <Characters>3365</Characters>
  <Lines>0</Lines>
  <Paragraphs>0</Paragraphs>
  <TotalTime>0</TotalTime>
  <ScaleCrop>false</ScaleCrop>
  <LinksUpToDate>false</LinksUpToDate>
  <CharactersWithSpaces>3381</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2020-07-27T06:18:00Z</dcterms:created>
  <dc:creator>陈璐</dc:creator>
  <cp:lastModifiedBy>霍泽铭</cp:lastModifiedBy>
  <dcterms:modified xsi:type="dcterms:W3CDTF">2023-10-18T08:39:07Z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1412B0AAEBE54CBCAB903BC37FB881BB_13</vt:lpwstr>
  </property>
</Properties>
</file>