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eastAsia="方正小标宋简体"/>
          <w:sz w:val="44"/>
          <w:szCs w:val="44"/>
        </w:rPr>
      </w:pPr>
      <w:r>
        <w:rPr>
          <w:rFonts w:eastAsia="方正小标宋简体"/>
          <w:sz w:val="44"/>
          <w:szCs w:val="44"/>
        </w:rPr>
        <w:t>广州市机动车排放检验机构监管和联网</w:t>
      </w:r>
    </w:p>
    <w:p>
      <w:pPr>
        <w:spacing w:line="590" w:lineRule="exact"/>
        <w:jc w:val="center"/>
        <w:rPr>
          <w:rFonts w:eastAsia="方正小标宋简体"/>
          <w:sz w:val="44"/>
          <w:szCs w:val="44"/>
        </w:rPr>
      </w:pPr>
      <w:r>
        <w:rPr>
          <w:rFonts w:eastAsia="方正小标宋简体"/>
          <w:sz w:val="44"/>
          <w:szCs w:val="44"/>
        </w:rPr>
        <w:t>实施办法</w:t>
      </w:r>
    </w:p>
    <w:p>
      <w:pPr>
        <w:spacing w:line="560" w:lineRule="exact"/>
        <w:rPr>
          <w:rFonts w:eastAsia="仿宋_GB2312"/>
          <w:sz w:val="32"/>
          <w:szCs w:val="32"/>
        </w:rPr>
      </w:pPr>
    </w:p>
    <w:p>
      <w:pPr>
        <w:spacing w:line="560" w:lineRule="exact"/>
        <w:jc w:val="center"/>
        <w:rPr>
          <w:rFonts w:eastAsia="黑体"/>
          <w:sz w:val="32"/>
          <w:szCs w:val="32"/>
        </w:rPr>
      </w:pPr>
      <w:r>
        <w:rPr>
          <w:rFonts w:eastAsia="黑体"/>
          <w:sz w:val="32"/>
          <w:szCs w:val="32"/>
        </w:rPr>
        <w:t>第一章  总  则</w:t>
      </w:r>
    </w:p>
    <w:p>
      <w:pPr>
        <w:spacing w:line="560" w:lineRule="exact"/>
        <w:rPr>
          <w:rFonts w:eastAsia="仿宋_GB2312"/>
          <w:sz w:val="32"/>
          <w:szCs w:val="32"/>
        </w:rPr>
      </w:pPr>
    </w:p>
    <w:p>
      <w:pPr>
        <w:spacing w:line="560" w:lineRule="exact"/>
        <w:ind w:firstLine="640" w:firstLineChars="200"/>
        <w:rPr>
          <w:rFonts w:eastAsia="仿宋_GB2312"/>
          <w:sz w:val="32"/>
          <w:szCs w:val="32"/>
        </w:rPr>
      </w:pPr>
      <w:r>
        <w:rPr>
          <w:rFonts w:eastAsia="黑体"/>
          <w:sz w:val="32"/>
          <w:szCs w:val="32"/>
        </w:rPr>
        <w:t xml:space="preserve">第一条  </w:t>
      </w:r>
      <w:r>
        <w:rPr>
          <w:rFonts w:eastAsia="仿宋_GB2312"/>
          <w:sz w:val="32"/>
          <w:szCs w:val="32"/>
        </w:rPr>
        <w:t>为规范机动车排气检验联网工作，加强对排气检验的日常监管，根据《中华人民共和国大气污染防治法》《广东省大气污染防治条例》《广东省机动车排气污染防治条例》《广东省环境保护厅关于机动车排放检验机构监管和联网工作的规范》（粤环函〔2016〕881号）、《广州市机动车排气污染防治规定》等有关规定，结合本市实际，制定本办法。</w:t>
      </w:r>
    </w:p>
    <w:p>
      <w:pPr>
        <w:spacing w:line="560" w:lineRule="exact"/>
        <w:ind w:firstLine="640" w:firstLineChars="200"/>
        <w:rPr>
          <w:rFonts w:eastAsia="仿宋_GB2312"/>
          <w:sz w:val="32"/>
          <w:szCs w:val="32"/>
        </w:rPr>
      </w:pPr>
      <w:r>
        <w:rPr>
          <w:rFonts w:eastAsia="黑体"/>
          <w:sz w:val="32"/>
          <w:szCs w:val="32"/>
        </w:rPr>
        <w:t xml:space="preserve">第二条  </w:t>
      </w:r>
      <w:r>
        <w:rPr>
          <w:rFonts w:eastAsia="仿宋_GB2312"/>
          <w:sz w:val="32"/>
          <w:szCs w:val="32"/>
        </w:rPr>
        <w:t>本办法所称机动车排气检验机构联网是指有资格的机动车排气检验机构依据有关法律法规规定，通过互联网上传有关数据，与市生态环境行政主管部门实现检验数据实时共享。</w:t>
      </w:r>
    </w:p>
    <w:p>
      <w:pPr>
        <w:spacing w:line="560" w:lineRule="exact"/>
        <w:ind w:firstLine="640" w:firstLineChars="200"/>
        <w:rPr>
          <w:rFonts w:eastAsia="仿宋_GB2312"/>
          <w:sz w:val="32"/>
          <w:szCs w:val="32"/>
        </w:rPr>
      </w:pPr>
      <w:r>
        <w:rPr>
          <w:rFonts w:eastAsia="黑体"/>
          <w:sz w:val="32"/>
          <w:szCs w:val="32"/>
        </w:rPr>
        <w:t xml:space="preserve">第三条  </w:t>
      </w:r>
      <w:r>
        <w:rPr>
          <w:rFonts w:eastAsia="仿宋_GB2312"/>
          <w:sz w:val="32"/>
          <w:szCs w:val="32"/>
        </w:rPr>
        <w:t>本办法所称具有资格的机动车排气检验机构是指取得机动车安全技术检验或营运车辆综合性能检测资格的检验机构，简称检验机构。</w:t>
      </w:r>
    </w:p>
    <w:p>
      <w:pPr>
        <w:spacing w:line="560" w:lineRule="exact"/>
        <w:ind w:firstLine="640" w:firstLineChars="200"/>
        <w:rPr>
          <w:rFonts w:eastAsia="仿宋_GB2312"/>
          <w:sz w:val="32"/>
          <w:szCs w:val="32"/>
        </w:rPr>
      </w:pPr>
      <w:r>
        <w:rPr>
          <w:rFonts w:eastAsia="黑体"/>
          <w:sz w:val="32"/>
          <w:szCs w:val="32"/>
        </w:rPr>
        <w:t xml:space="preserve">第四条  </w:t>
      </w:r>
      <w:r>
        <w:rPr>
          <w:rFonts w:eastAsia="仿宋_GB2312"/>
          <w:sz w:val="32"/>
          <w:szCs w:val="32"/>
        </w:rPr>
        <w:t>本市行政区域内的机动车排气检验联网和相关管理适用本办法。</w:t>
      </w:r>
    </w:p>
    <w:p>
      <w:pPr>
        <w:spacing w:line="560" w:lineRule="exact"/>
        <w:ind w:firstLine="640" w:firstLineChars="200"/>
        <w:rPr>
          <w:rFonts w:eastAsia="仿宋_GB2312"/>
          <w:sz w:val="32"/>
          <w:szCs w:val="32"/>
        </w:rPr>
      </w:pPr>
      <w:r>
        <w:rPr>
          <w:rFonts w:eastAsia="黑体"/>
          <w:sz w:val="32"/>
          <w:szCs w:val="32"/>
        </w:rPr>
        <w:t xml:space="preserve">第五条  </w:t>
      </w:r>
      <w:r>
        <w:rPr>
          <w:rFonts w:eastAsia="仿宋_GB2312"/>
          <w:sz w:val="32"/>
          <w:szCs w:val="32"/>
        </w:rPr>
        <w:t>市生态环境局负责组织实施本市排气检验联网及相关管理工作，依据联网技术核查结果，统筹开展联网工作。</w:t>
      </w:r>
    </w:p>
    <w:p>
      <w:pPr>
        <w:spacing w:line="560" w:lineRule="exact"/>
        <w:ind w:firstLine="640" w:firstLineChars="200"/>
        <w:rPr>
          <w:rFonts w:eastAsia="仿宋_GB2312"/>
          <w:sz w:val="32"/>
          <w:szCs w:val="32"/>
        </w:rPr>
      </w:pPr>
      <w:r>
        <w:rPr>
          <w:rFonts w:eastAsia="黑体"/>
          <w:sz w:val="32"/>
          <w:szCs w:val="32"/>
        </w:rPr>
        <w:t xml:space="preserve">第六条  </w:t>
      </w:r>
      <w:r>
        <w:rPr>
          <w:rFonts w:hAnsi="仿宋_GB2312" w:eastAsia="仿宋_GB2312"/>
          <w:sz w:val="32"/>
          <w:szCs w:val="32"/>
        </w:rPr>
        <w:t>联网技术核查由市环境监测中心站组织实施，</w:t>
      </w:r>
      <w:r>
        <w:rPr>
          <w:rFonts w:eastAsia="仿宋_GB2312"/>
          <w:sz w:val="32"/>
          <w:szCs w:val="32"/>
        </w:rPr>
        <w:t>有关工作指引见附件1。</w:t>
      </w:r>
    </w:p>
    <w:p>
      <w:pPr>
        <w:spacing w:line="560" w:lineRule="exact"/>
        <w:jc w:val="center"/>
        <w:rPr>
          <w:rFonts w:eastAsia="黑体"/>
          <w:sz w:val="32"/>
          <w:szCs w:val="32"/>
        </w:rPr>
      </w:pPr>
      <w:r>
        <w:rPr>
          <w:rFonts w:eastAsia="黑体"/>
          <w:sz w:val="32"/>
          <w:szCs w:val="32"/>
        </w:rPr>
        <w:t>第二章  联网办理</w:t>
      </w:r>
    </w:p>
    <w:p>
      <w:pPr>
        <w:spacing w:line="560" w:lineRule="exact"/>
        <w:rPr>
          <w:rFonts w:eastAsia="仿宋_GB2312"/>
          <w:sz w:val="32"/>
          <w:szCs w:val="32"/>
        </w:rPr>
      </w:pPr>
    </w:p>
    <w:p>
      <w:pPr>
        <w:spacing w:line="560" w:lineRule="exact"/>
        <w:ind w:firstLine="640" w:firstLineChars="200"/>
        <w:rPr>
          <w:rFonts w:eastAsia="仿宋_GB2312"/>
          <w:sz w:val="32"/>
          <w:szCs w:val="32"/>
        </w:rPr>
      </w:pPr>
      <w:r>
        <w:rPr>
          <w:rFonts w:eastAsia="黑体"/>
          <w:sz w:val="32"/>
          <w:szCs w:val="32"/>
        </w:rPr>
        <w:t xml:space="preserve">第七条  </w:t>
      </w:r>
      <w:r>
        <w:rPr>
          <w:rFonts w:eastAsia="仿宋_GB2312"/>
          <w:sz w:val="32"/>
          <w:szCs w:val="32"/>
        </w:rPr>
        <w:t>检验机构应当符合下列条件：</w:t>
      </w:r>
    </w:p>
    <w:p>
      <w:pPr>
        <w:spacing w:line="560" w:lineRule="exact"/>
        <w:ind w:firstLine="640" w:firstLineChars="200"/>
        <w:rPr>
          <w:rFonts w:eastAsia="仿宋_GB2312"/>
          <w:sz w:val="32"/>
          <w:szCs w:val="32"/>
        </w:rPr>
      </w:pPr>
      <w:r>
        <w:rPr>
          <w:rFonts w:eastAsia="仿宋_GB2312"/>
          <w:sz w:val="32"/>
          <w:szCs w:val="32"/>
        </w:rPr>
        <w:t>（一）具有独立法人资格。</w:t>
      </w:r>
    </w:p>
    <w:p>
      <w:pPr>
        <w:spacing w:line="560" w:lineRule="exact"/>
        <w:ind w:firstLine="640" w:firstLineChars="200"/>
        <w:rPr>
          <w:rFonts w:eastAsia="仿宋_GB2312"/>
          <w:sz w:val="32"/>
          <w:szCs w:val="32"/>
        </w:rPr>
      </w:pPr>
      <w:r>
        <w:rPr>
          <w:rFonts w:eastAsia="仿宋_GB2312"/>
          <w:sz w:val="32"/>
          <w:szCs w:val="32"/>
        </w:rPr>
        <w:t>（二）已办理建设项目环境影响评价登记表备案或通过建设项目环境影响评价文件审批。</w:t>
      </w:r>
    </w:p>
    <w:p>
      <w:pPr>
        <w:spacing w:line="560" w:lineRule="exact"/>
        <w:ind w:firstLine="640" w:firstLineChars="200"/>
        <w:rPr>
          <w:rFonts w:eastAsia="仿宋_GB2312"/>
          <w:sz w:val="32"/>
          <w:szCs w:val="32"/>
        </w:rPr>
      </w:pPr>
      <w:r>
        <w:rPr>
          <w:rFonts w:eastAsia="仿宋_GB2312"/>
          <w:sz w:val="32"/>
          <w:szCs w:val="32"/>
        </w:rPr>
        <w:t>（三）通过市场监管部门的资质认定，取得检验检测机构资质认定证书。</w:t>
      </w:r>
    </w:p>
    <w:p>
      <w:pPr>
        <w:spacing w:line="560" w:lineRule="exact"/>
        <w:ind w:firstLine="640" w:firstLineChars="200"/>
        <w:rPr>
          <w:rFonts w:eastAsia="仿宋_GB2312"/>
          <w:sz w:val="32"/>
          <w:szCs w:val="32"/>
        </w:rPr>
      </w:pPr>
      <w:r>
        <w:rPr>
          <w:rFonts w:eastAsia="仿宋_GB2312"/>
          <w:sz w:val="32"/>
          <w:szCs w:val="32"/>
        </w:rPr>
        <w:t>（四）排气检验场地布局合理、光线充足，各功能区标识清晰。</w:t>
      </w:r>
    </w:p>
    <w:p>
      <w:pPr>
        <w:spacing w:line="560" w:lineRule="exact"/>
        <w:ind w:firstLine="640" w:firstLineChars="200"/>
        <w:rPr>
          <w:rFonts w:eastAsia="仿宋_GB2312"/>
          <w:sz w:val="32"/>
          <w:szCs w:val="32"/>
        </w:rPr>
      </w:pPr>
      <w:r>
        <w:rPr>
          <w:rFonts w:eastAsia="仿宋_GB2312"/>
          <w:sz w:val="32"/>
          <w:szCs w:val="32"/>
        </w:rPr>
        <w:t>（五）检测仪器设备经计量检定或校准，符合有关标准和规范的要求，其工控系统的数据通讯接口、数据格式等符合市生态环境部门信息化管理的要求。</w:t>
      </w:r>
    </w:p>
    <w:p>
      <w:pPr>
        <w:spacing w:line="560" w:lineRule="exact"/>
        <w:ind w:firstLine="640" w:firstLineChars="200"/>
        <w:rPr>
          <w:rFonts w:eastAsia="仿宋_GB2312"/>
          <w:sz w:val="32"/>
          <w:szCs w:val="32"/>
        </w:rPr>
      </w:pPr>
      <w:r>
        <w:rPr>
          <w:rFonts w:eastAsia="仿宋_GB2312"/>
          <w:sz w:val="32"/>
          <w:szCs w:val="32"/>
        </w:rPr>
        <w:t>（六）配置视频监控、数据存储、系统服务器、车牌识别装置等硬件设备，建立专用局域网络并使用光纤与市机动车排放监督管理系统对接，满足实时传输排气检验数据和实时监控的需要。</w:t>
      </w:r>
    </w:p>
    <w:p>
      <w:pPr>
        <w:spacing w:line="560" w:lineRule="exact"/>
        <w:ind w:firstLine="640" w:firstLineChars="200"/>
        <w:rPr>
          <w:rFonts w:eastAsia="仿宋_GB2312"/>
          <w:sz w:val="32"/>
          <w:szCs w:val="32"/>
        </w:rPr>
      </w:pPr>
      <w:r>
        <w:rPr>
          <w:rFonts w:eastAsia="仿宋_GB2312"/>
          <w:sz w:val="32"/>
          <w:szCs w:val="32"/>
        </w:rPr>
        <w:t>（七）上传的联网数据能满足国家和我省机动车环保信息联网规范的要求。</w:t>
      </w:r>
    </w:p>
    <w:p>
      <w:pPr>
        <w:spacing w:line="560" w:lineRule="exact"/>
        <w:ind w:firstLine="640" w:firstLineChars="200"/>
        <w:rPr>
          <w:rFonts w:eastAsia="仿宋_GB2312"/>
          <w:sz w:val="32"/>
          <w:szCs w:val="32"/>
        </w:rPr>
      </w:pPr>
      <w:r>
        <w:rPr>
          <w:rFonts w:eastAsia="仿宋_GB2312"/>
          <w:sz w:val="32"/>
          <w:szCs w:val="32"/>
        </w:rPr>
        <w:t>（八）原则上每条检测线需配备至少2名符合国家规定要求的检测技术人员。</w:t>
      </w:r>
    </w:p>
    <w:p>
      <w:pPr>
        <w:spacing w:line="560" w:lineRule="exact"/>
        <w:ind w:firstLine="640" w:firstLineChars="200"/>
        <w:rPr>
          <w:rFonts w:eastAsia="仿宋_GB2312"/>
          <w:sz w:val="32"/>
          <w:szCs w:val="32"/>
        </w:rPr>
      </w:pPr>
      <w:r>
        <w:rPr>
          <w:rFonts w:eastAsia="仿宋_GB2312"/>
          <w:sz w:val="32"/>
          <w:szCs w:val="32"/>
        </w:rPr>
        <w:t>（九）建立完整有效的质量管理体系和管理制度，按照有关规定建立并保存排气检验档案。公开营业执照、组织机构代码证、工作岗位责任、工作人员守则、检验工作程序、机动车排放标准、检测收费标准等。</w:t>
      </w:r>
    </w:p>
    <w:p>
      <w:pPr>
        <w:spacing w:line="560" w:lineRule="exact"/>
        <w:ind w:firstLine="640" w:firstLineChars="200"/>
        <w:rPr>
          <w:rFonts w:eastAsia="仿宋_GB2312"/>
          <w:sz w:val="32"/>
          <w:szCs w:val="32"/>
        </w:rPr>
      </w:pPr>
      <w:r>
        <w:rPr>
          <w:rFonts w:eastAsia="黑体"/>
          <w:sz w:val="32"/>
          <w:szCs w:val="32"/>
        </w:rPr>
        <w:t xml:space="preserve">第八条  </w:t>
      </w:r>
      <w:r>
        <w:rPr>
          <w:rFonts w:eastAsia="仿宋_GB2312"/>
          <w:sz w:val="32"/>
          <w:szCs w:val="32"/>
        </w:rPr>
        <w:t>排气检验联网工作按以下程序办理：</w:t>
      </w:r>
    </w:p>
    <w:p>
      <w:pPr>
        <w:spacing w:line="560" w:lineRule="exact"/>
        <w:ind w:firstLine="640" w:firstLineChars="200"/>
        <w:rPr>
          <w:rFonts w:eastAsia="仿宋_GB2312"/>
          <w:sz w:val="32"/>
          <w:szCs w:val="32"/>
        </w:rPr>
      </w:pPr>
      <w:r>
        <w:rPr>
          <w:rFonts w:eastAsia="仿宋_GB2312"/>
          <w:sz w:val="32"/>
          <w:szCs w:val="32"/>
        </w:rPr>
        <w:t>（一）检验机构登录广州生态环境网下载《广州市机动车排气检验机构联网信息表》（见附件2），并按要求填写。</w:t>
      </w:r>
    </w:p>
    <w:p>
      <w:pPr>
        <w:spacing w:line="560" w:lineRule="exact"/>
        <w:ind w:firstLine="640" w:firstLineChars="200"/>
        <w:rPr>
          <w:rFonts w:eastAsia="仿宋_GB2312"/>
          <w:sz w:val="32"/>
          <w:szCs w:val="32"/>
        </w:rPr>
      </w:pPr>
      <w:r>
        <w:rPr>
          <w:rFonts w:eastAsia="仿宋_GB2312"/>
          <w:sz w:val="32"/>
          <w:szCs w:val="32"/>
        </w:rPr>
        <w:t>（二）检验机构按照《广州市机动车排气检验机构联网技术核查指引》有关要求，向市环境监测中心站提交联网资料。</w:t>
      </w:r>
    </w:p>
    <w:p>
      <w:pPr>
        <w:spacing w:line="560" w:lineRule="exact"/>
        <w:ind w:firstLine="640" w:firstLineChars="200"/>
        <w:rPr>
          <w:rFonts w:eastAsia="仿宋_GB2312"/>
          <w:sz w:val="32"/>
          <w:szCs w:val="32"/>
        </w:rPr>
      </w:pPr>
      <w:r>
        <w:rPr>
          <w:rFonts w:eastAsia="仿宋_GB2312"/>
          <w:sz w:val="32"/>
          <w:szCs w:val="32"/>
        </w:rPr>
        <w:t>（三）市环境监测中心站对检验机构提交的联网资料进行审核，依据有关要求</w:t>
      </w:r>
      <w:r>
        <w:rPr>
          <w:rFonts w:hint="eastAsia" w:eastAsia="仿宋_GB2312"/>
          <w:sz w:val="32"/>
          <w:szCs w:val="32"/>
        </w:rPr>
        <w:t>，</w:t>
      </w:r>
      <w:r>
        <w:rPr>
          <w:rFonts w:eastAsia="仿宋_GB2312"/>
          <w:sz w:val="32"/>
          <w:szCs w:val="32"/>
        </w:rPr>
        <w:t>结合市环境信息中心出具的关于检验机构联网传输</w:t>
      </w:r>
      <w:r>
        <w:rPr>
          <w:rFonts w:hint="eastAsia" w:eastAsia="仿宋_GB2312"/>
          <w:sz w:val="32"/>
          <w:szCs w:val="32"/>
        </w:rPr>
        <w:t>的</w:t>
      </w:r>
      <w:r>
        <w:rPr>
          <w:rFonts w:eastAsia="仿宋_GB2312"/>
          <w:sz w:val="32"/>
          <w:szCs w:val="32"/>
        </w:rPr>
        <w:t>核查意见</w:t>
      </w:r>
      <w:r>
        <w:rPr>
          <w:rFonts w:hint="eastAsia" w:eastAsia="仿宋_GB2312"/>
          <w:sz w:val="32"/>
          <w:szCs w:val="32"/>
        </w:rPr>
        <w:t>，</w:t>
      </w:r>
      <w:r>
        <w:rPr>
          <w:rFonts w:eastAsia="仿宋_GB2312"/>
          <w:sz w:val="32"/>
          <w:szCs w:val="32"/>
        </w:rPr>
        <w:t>开展联网技术核查，填写《广州市机动车排气检验机构联网技术核查表》，对经技术核查符合条件的，出具技术核查意见，报市生态环境局。</w:t>
      </w:r>
    </w:p>
    <w:p>
      <w:pPr>
        <w:spacing w:line="560" w:lineRule="exact"/>
        <w:ind w:firstLine="640" w:firstLineChars="200"/>
        <w:rPr>
          <w:rFonts w:eastAsia="仿宋_GB2312"/>
          <w:sz w:val="32"/>
          <w:szCs w:val="32"/>
        </w:rPr>
      </w:pPr>
      <w:r>
        <w:rPr>
          <w:rFonts w:eastAsia="仿宋_GB2312"/>
          <w:sz w:val="32"/>
          <w:szCs w:val="32"/>
        </w:rPr>
        <w:t>（四）市生态环境局依据市环境监测中心站提出的技术核查意见，出具联网意见复函。</w:t>
      </w:r>
    </w:p>
    <w:p>
      <w:pPr>
        <w:spacing w:line="560" w:lineRule="exact"/>
        <w:ind w:firstLine="640" w:firstLineChars="200"/>
        <w:rPr>
          <w:rFonts w:eastAsia="仿宋_GB2312"/>
          <w:sz w:val="32"/>
          <w:szCs w:val="32"/>
        </w:rPr>
      </w:pPr>
      <w:r>
        <w:rPr>
          <w:rFonts w:eastAsia="仿宋_GB2312"/>
          <w:sz w:val="32"/>
          <w:szCs w:val="32"/>
        </w:rPr>
        <w:t>（五）检验机构实现与市生态环境局联网。</w:t>
      </w:r>
    </w:p>
    <w:p>
      <w:pPr>
        <w:spacing w:line="560" w:lineRule="exact"/>
        <w:ind w:firstLine="640" w:firstLineChars="200"/>
        <w:rPr>
          <w:rFonts w:eastAsia="仿宋_GB2312"/>
          <w:sz w:val="32"/>
          <w:szCs w:val="32"/>
        </w:rPr>
      </w:pPr>
      <w:r>
        <w:rPr>
          <w:rFonts w:eastAsia="黑体"/>
          <w:sz w:val="32"/>
          <w:szCs w:val="32"/>
        </w:rPr>
        <w:t xml:space="preserve">第九条  </w:t>
      </w:r>
      <w:r>
        <w:rPr>
          <w:rFonts w:eastAsia="仿宋_GB2312"/>
          <w:sz w:val="32"/>
          <w:szCs w:val="32"/>
        </w:rPr>
        <w:t>检验机构需向市环境监测中心站提交以下联网材料：</w:t>
      </w:r>
    </w:p>
    <w:p>
      <w:pPr>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w:t>
      </w:r>
      <w:r>
        <w:rPr>
          <w:rFonts w:eastAsia="仿宋_GB2312"/>
          <w:sz w:val="32"/>
          <w:szCs w:val="32"/>
        </w:rPr>
        <w:t>广州市机动车排气检验机构联网信息表</w:t>
      </w:r>
      <w:r>
        <w:rPr>
          <w:rFonts w:hint="eastAsia" w:eastAsia="仿宋_GB2312"/>
          <w:sz w:val="32"/>
          <w:szCs w:val="32"/>
        </w:rPr>
        <w:t>》（见附件2）</w:t>
      </w:r>
      <w:r>
        <w:rPr>
          <w:rFonts w:eastAsia="仿宋_GB2312"/>
          <w:sz w:val="32"/>
          <w:szCs w:val="32"/>
        </w:rPr>
        <w:t>。</w:t>
      </w:r>
    </w:p>
    <w:p>
      <w:pPr>
        <w:spacing w:line="560" w:lineRule="exact"/>
        <w:ind w:firstLine="640" w:firstLineChars="200"/>
        <w:rPr>
          <w:rFonts w:eastAsia="仿宋_GB2312"/>
          <w:sz w:val="32"/>
          <w:szCs w:val="32"/>
        </w:rPr>
      </w:pPr>
      <w:r>
        <w:rPr>
          <w:rFonts w:eastAsia="仿宋_GB2312"/>
          <w:sz w:val="32"/>
          <w:szCs w:val="32"/>
        </w:rPr>
        <w:t>（二）企业法人营业执照副本或事业单位法人证书复印件。</w:t>
      </w:r>
    </w:p>
    <w:p>
      <w:pPr>
        <w:spacing w:line="560" w:lineRule="exact"/>
        <w:ind w:firstLine="640" w:firstLineChars="200"/>
        <w:rPr>
          <w:rFonts w:eastAsia="仿宋_GB2312"/>
          <w:sz w:val="32"/>
          <w:szCs w:val="32"/>
        </w:rPr>
      </w:pPr>
      <w:r>
        <w:rPr>
          <w:rFonts w:eastAsia="仿宋_GB2312"/>
          <w:sz w:val="32"/>
          <w:szCs w:val="32"/>
        </w:rPr>
        <w:t>（三）建设项目环境影响登记表或建设项目环境影响评价文件批复复印件。</w:t>
      </w:r>
    </w:p>
    <w:p>
      <w:pPr>
        <w:spacing w:line="560" w:lineRule="exact"/>
        <w:ind w:firstLine="640" w:firstLineChars="200"/>
        <w:rPr>
          <w:rFonts w:eastAsia="仿宋_GB2312"/>
          <w:sz w:val="32"/>
          <w:szCs w:val="32"/>
        </w:rPr>
      </w:pPr>
      <w:r>
        <w:rPr>
          <w:rFonts w:eastAsia="仿宋_GB2312"/>
          <w:sz w:val="32"/>
          <w:szCs w:val="32"/>
        </w:rPr>
        <w:t>（四）检验检测机构资质认定证书及附表复印件。</w:t>
      </w:r>
    </w:p>
    <w:p>
      <w:pPr>
        <w:spacing w:line="560" w:lineRule="exact"/>
        <w:ind w:firstLine="640" w:firstLineChars="200"/>
        <w:rPr>
          <w:rFonts w:eastAsia="仿宋_GB2312"/>
          <w:sz w:val="32"/>
          <w:szCs w:val="32"/>
        </w:rPr>
      </w:pPr>
      <w:r>
        <w:rPr>
          <w:rFonts w:eastAsia="仿宋_GB2312"/>
          <w:sz w:val="32"/>
          <w:szCs w:val="32"/>
        </w:rPr>
        <w:t>（五）检测仪器设备检定、校准证书复印件。</w:t>
      </w:r>
    </w:p>
    <w:p>
      <w:pPr>
        <w:spacing w:line="560" w:lineRule="exact"/>
        <w:ind w:firstLine="640" w:firstLineChars="200"/>
        <w:rPr>
          <w:rFonts w:eastAsia="仿宋_GB2312"/>
          <w:sz w:val="32"/>
          <w:szCs w:val="32"/>
        </w:rPr>
      </w:pPr>
      <w:r>
        <w:rPr>
          <w:rFonts w:eastAsia="仿宋_GB2312"/>
          <w:sz w:val="32"/>
          <w:szCs w:val="32"/>
        </w:rPr>
        <w:t>（六）机动车排气检测人员相关专业技术材料复印件。</w:t>
      </w:r>
    </w:p>
    <w:p>
      <w:pPr>
        <w:spacing w:line="560" w:lineRule="exact"/>
        <w:ind w:firstLine="640" w:firstLineChars="200"/>
        <w:rPr>
          <w:rFonts w:eastAsia="仿宋_GB2312"/>
          <w:sz w:val="32"/>
          <w:szCs w:val="32"/>
        </w:rPr>
      </w:pPr>
      <w:r>
        <w:rPr>
          <w:rFonts w:eastAsia="黑体"/>
          <w:sz w:val="32"/>
          <w:szCs w:val="32"/>
        </w:rPr>
        <w:t xml:space="preserve">第十条  </w:t>
      </w:r>
      <w:r>
        <w:rPr>
          <w:rFonts w:eastAsia="仿宋_GB2312"/>
          <w:sz w:val="32"/>
          <w:szCs w:val="32"/>
        </w:rPr>
        <w:t>检验机构迁址或检验场地搬迁的，应当重新办理联网。</w:t>
      </w:r>
    </w:p>
    <w:p>
      <w:pPr>
        <w:spacing w:line="560" w:lineRule="exact"/>
        <w:ind w:firstLine="636"/>
        <w:rPr>
          <w:rFonts w:eastAsia="黑体"/>
          <w:sz w:val="32"/>
          <w:szCs w:val="32"/>
        </w:rPr>
      </w:pPr>
      <w:r>
        <w:rPr>
          <w:rFonts w:eastAsia="黑体"/>
          <w:sz w:val="32"/>
          <w:szCs w:val="32"/>
        </w:rPr>
        <w:t xml:space="preserve">第十一条 </w:t>
      </w:r>
      <w:r>
        <w:rPr>
          <w:rFonts w:hint="eastAsia" w:eastAsia="黑体"/>
          <w:sz w:val="32"/>
          <w:szCs w:val="32"/>
        </w:rPr>
        <w:t xml:space="preserve"> </w:t>
      </w:r>
      <w:r>
        <w:rPr>
          <w:rFonts w:eastAsia="仿宋_GB2312"/>
          <w:sz w:val="32"/>
          <w:szCs w:val="32"/>
        </w:rPr>
        <w:t>对建设项目环境影响报告表审批通过的检验机构，应于联网后一年内完成验收并向市环境监测中心站报告</w:t>
      </w:r>
      <w:r>
        <w:rPr>
          <w:rFonts w:hint="eastAsia" w:eastAsia="仿宋_GB2312"/>
          <w:sz w:val="32"/>
          <w:szCs w:val="32"/>
        </w:rPr>
        <w:t>并</w:t>
      </w:r>
      <w:r>
        <w:rPr>
          <w:rFonts w:eastAsia="仿宋_GB2312"/>
          <w:sz w:val="32"/>
          <w:szCs w:val="32"/>
        </w:rPr>
        <w:t>提交建设项目在“全国建设项目环境影响评价管理信息平台”填报情况截图及建设单位验收意见；未完成验收的，不予接收相关检测数据。</w:t>
      </w:r>
    </w:p>
    <w:p>
      <w:pPr>
        <w:spacing w:line="560" w:lineRule="exact"/>
        <w:ind w:firstLine="636"/>
        <w:rPr>
          <w:rFonts w:eastAsia="黑体"/>
          <w:sz w:val="32"/>
          <w:szCs w:val="32"/>
        </w:rPr>
      </w:pPr>
    </w:p>
    <w:p>
      <w:pPr>
        <w:spacing w:line="560" w:lineRule="exact"/>
        <w:jc w:val="center"/>
        <w:rPr>
          <w:rFonts w:eastAsia="黑体"/>
          <w:sz w:val="32"/>
          <w:szCs w:val="32"/>
        </w:rPr>
      </w:pPr>
      <w:r>
        <w:rPr>
          <w:rFonts w:eastAsia="黑体"/>
          <w:sz w:val="32"/>
          <w:szCs w:val="32"/>
        </w:rPr>
        <w:t>第三章  联网变更办理</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黑体"/>
          <w:sz w:val="32"/>
          <w:szCs w:val="32"/>
        </w:rPr>
        <w:t xml:space="preserve">第十二条  </w:t>
      </w:r>
      <w:r>
        <w:rPr>
          <w:rFonts w:eastAsia="仿宋_GB2312"/>
          <w:sz w:val="32"/>
          <w:szCs w:val="32"/>
        </w:rPr>
        <w:t>检验机构拟增加检测线数量、改变检测线类型、位置及主要检测设备（含工控软件）的，应当办理联网变更手续。</w:t>
      </w:r>
    </w:p>
    <w:p>
      <w:pPr>
        <w:spacing w:line="560" w:lineRule="exact"/>
        <w:ind w:firstLine="640" w:firstLineChars="200"/>
        <w:rPr>
          <w:rFonts w:eastAsia="仿宋_GB2312"/>
          <w:sz w:val="32"/>
          <w:szCs w:val="32"/>
        </w:rPr>
      </w:pPr>
      <w:r>
        <w:rPr>
          <w:rFonts w:eastAsia="黑体"/>
          <w:sz w:val="32"/>
          <w:szCs w:val="32"/>
        </w:rPr>
        <w:t xml:space="preserve">第十三条  </w:t>
      </w:r>
      <w:r>
        <w:rPr>
          <w:rFonts w:eastAsia="仿宋_GB2312"/>
          <w:sz w:val="32"/>
          <w:szCs w:val="32"/>
        </w:rPr>
        <w:t>联网变更按以下程序办理：</w:t>
      </w:r>
    </w:p>
    <w:p>
      <w:pPr>
        <w:spacing w:line="560" w:lineRule="exact"/>
        <w:ind w:firstLine="640" w:firstLineChars="200"/>
        <w:rPr>
          <w:rFonts w:eastAsia="仿宋_GB2312"/>
          <w:sz w:val="32"/>
          <w:szCs w:val="32"/>
        </w:rPr>
      </w:pPr>
      <w:r>
        <w:rPr>
          <w:rFonts w:eastAsia="仿宋_GB2312"/>
          <w:sz w:val="32"/>
          <w:szCs w:val="32"/>
        </w:rPr>
        <w:t>（一）检验机构登录广州生态环境网下载《广州市机动车排气检验机构联网变更信息表》（见附件3），并按要求填写。</w:t>
      </w:r>
    </w:p>
    <w:p>
      <w:pPr>
        <w:spacing w:line="560" w:lineRule="exact"/>
        <w:ind w:firstLine="640" w:firstLineChars="200"/>
        <w:rPr>
          <w:rFonts w:eastAsia="仿宋_GB2312"/>
          <w:sz w:val="32"/>
          <w:szCs w:val="32"/>
        </w:rPr>
      </w:pPr>
      <w:r>
        <w:rPr>
          <w:rFonts w:eastAsia="仿宋_GB2312"/>
          <w:sz w:val="32"/>
          <w:szCs w:val="32"/>
        </w:rPr>
        <w:t>（二）检验机构按照《广州市机动车排气检验机构联网技术核查指引》有关要求，向市环境监测中心站提交联网资料。</w:t>
      </w:r>
    </w:p>
    <w:p>
      <w:pPr>
        <w:spacing w:line="560" w:lineRule="exact"/>
        <w:ind w:firstLine="640" w:firstLineChars="200"/>
        <w:rPr>
          <w:rFonts w:eastAsia="仿宋_GB2312"/>
          <w:sz w:val="32"/>
          <w:szCs w:val="32"/>
        </w:rPr>
      </w:pPr>
      <w:r>
        <w:rPr>
          <w:rFonts w:eastAsia="仿宋_GB2312"/>
          <w:sz w:val="32"/>
          <w:szCs w:val="32"/>
        </w:rPr>
        <w:t>（三）市环境监测中心站对检验机构提交的联网资料进行审核，依据有关要求</w:t>
      </w:r>
      <w:r>
        <w:rPr>
          <w:rFonts w:hint="eastAsia" w:eastAsia="仿宋_GB2312"/>
          <w:sz w:val="32"/>
          <w:szCs w:val="32"/>
        </w:rPr>
        <w:t>，</w:t>
      </w:r>
      <w:r>
        <w:rPr>
          <w:rFonts w:eastAsia="仿宋_GB2312"/>
          <w:sz w:val="32"/>
          <w:szCs w:val="32"/>
        </w:rPr>
        <w:t>结合市环境信息中心出具的关于检验机构联网传输</w:t>
      </w:r>
      <w:r>
        <w:rPr>
          <w:rFonts w:hint="eastAsia" w:eastAsia="仿宋_GB2312"/>
          <w:sz w:val="32"/>
          <w:szCs w:val="32"/>
        </w:rPr>
        <w:t>的</w:t>
      </w:r>
      <w:r>
        <w:rPr>
          <w:rFonts w:eastAsia="仿宋_GB2312"/>
          <w:sz w:val="32"/>
          <w:szCs w:val="32"/>
        </w:rPr>
        <w:t>核查意见</w:t>
      </w:r>
      <w:r>
        <w:rPr>
          <w:rFonts w:hint="eastAsia" w:eastAsia="仿宋_GB2312"/>
          <w:sz w:val="32"/>
          <w:szCs w:val="32"/>
        </w:rPr>
        <w:t>，</w:t>
      </w:r>
      <w:r>
        <w:rPr>
          <w:rFonts w:eastAsia="仿宋_GB2312"/>
          <w:sz w:val="32"/>
          <w:szCs w:val="32"/>
        </w:rPr>
        <w:t>开展联网技术核查，填写《广州市机动车排气检验机构联网技术核查表》，对经技术核查符合条件的，出具技术核查意见，报市生态环境局。</w:t>
      </w:r>
    </w:p>
    <w:p>
      <w:pPr>
        <w:spacing w:line="560" w:lineRule="exact"/>
        <w:ind w:firstLine="640" w:firstLineChars="200"/>
        <w:rPr>
          <w:rFonts w:eastAsia="仿宋_GB2312"/>
          <w:sz w:val="32"/>
          <w:szCs w:val="32"/>
        </w:rPr>
      </w:pPr>
      <w:r>
        <w:rPr>
          <w:rFonts w:eastAsia="仿宋_GB2312"/>
          <w:sz w:val="32"/>
          <w:szCs w:val="32"/>
        </w:rPr>
        <w:t>（四）市生态环境局依据市环境监测中心站提出的技术核查意见，出具联网变更意见复函。</w:t>
      </w:r>
    </w:p>
    <w:p>
      <w:pPr>
        <w:spacing w:line="560" w:lineRule="exact"/>
        <w:ind w:firstLine="640" w:firstLineChars="200"/>
        <w:rPr>
          <w:rFonts w:eastAsia="仿宋_GB2312"/>
          <w:sz w:val="32"/>
          <w:szCs w:val="32"/>
        </w:rPr>
      </w:pPr>
      <w:r>
        <w:rPr>
          <w:rFonts w:eastAsia="仿宋_GB2312"/>
          <w:sz w:val="32"/>
          <w:szCs w:val="32"/>
        </w:rPr>
        <w:t>（五）市环境监测中心站办理检验机构联网变更。</w:t>
      </w:r>
    </w:p>
    <w:p>
      <w:pPr>
        <w:spacing w:line="560" w:lineRule="exact"/>
        <w:ind w:firstLine="640" w:firstLineChars="200"/>
        <w:rPr>
          <w:rFonts w:eastAsia="仿宋_GB2312"/>
          <w:sz w:val="32"/>
          <w:szCs w:val="32"/>
        </w:rPr>
      </w:pPr>
      <w:r>
        <w:rPr>
          <w:rFonts w:eastAsia="黑体"/>
          <w:sz w:val="32"/>
          <w:szCs w:val="32"/>
        </w:rPr>
        <w:t xml:space="preserve">第十四条  </w:t>
      </w:r>
      <w:r>
        <w:rPr>
          <w:rFonts w:eastAsia="仿宋_GB2312"/>
          <w:sz w:val="32"/>
          <w:szCs w:val="32"/>
        </w:rPr>
        <w:t>检验机构办理联网变更需提交以下材料：</w:t>
      </w:r>
    </w:p>
    <w:p>
      <w:pPr>
        <w:spacing w:line="560" w:lineRule="exact"/>
        <w:ind w:firstLine="640" w:firstLineChars="200"/>
        <w:rPr>
          <w:rFonts w:eastAsia="仿宋_GB2312"/>
          <w:sz w:val="32"/>
          <w:szCs w:val="32"/>
        </w:rPr>
      </w:pPr>
      <w:r>
        <w:rPr>
          <w:rFonts w:eastAsia="仿宋_GB2312"/>
          <w:sz w:val="32"/>
          <w:szCs w:val="32"/>
        </w:rPr>
        <w:t>（一）</w:t>
      </w:r>
      <w:r>
        <w:rPr>
          <w:rFonts w:hint="eastAsia" w:eastAsia="仿宋_GB2312"/>
          <w:sz w:val="32"/>
          <w:szCs w:val="32"/>
        </w:rPr>
        <w:t>《</w:t>
      </w:r>
      <w:r>
        <w:rPr>
          <w:rFonts w:eastAsia="仿宋_GB2312"/>
          <w:sz w:val="32"/>
          <w:szCs w:val="32"/>
        </w:rPr>
        <w:t>广州市机动车排气检验机构联网变更信息表</w:t>
      </w:r>
      <w:r>
        <w:rPr>
          <w:rFonts w:hint="eastAsia" w:eastAsia="仿宋_GB2312"/>
          <w:sz w:val="32"/>
          <w:szCs w:val="32"/>
        </w:rPr>
        <w:t>》</w:t>
      </w:r>
      <w:r>
        <w:rPr>
          <w:rFonts w:eastAsia="仿宋_GB2312"/>
          <w:sz w:val="32"/>
          <w:szCs w:val="32"/>
        </w:rPr>
        <w:t>（见附件3）。</w:t>
      </w:r>
    </w:p>
    <w:p>
      <w:pPr>
        <w:spacing w:line="560" w:lineRule="exact"/>
        <w:ind w:firstLine="640" w:firstLineChars="200"/>
        <w:rPr>
          <w:rFonts w:eastAsia="仿宋_GB2312"/>
          <w:sz w:val="32"/>
          <w:szCs w:val="32"/>
        </w:rPr>
      </w:pPr>
      <w:r>
        <w:rPr>
          <w:rFonts w:eastAsia="仿宋_GB2312"/>
          <w:sz w:val="32"/>
          <w:szCs w:val="32"/>
        </w:rPr>
        <w:t>（二）建设项目环境影响登记表，或建设项目环境影响评价文件批复复印件、在“全国建设项目环境影响评价管理信息平台”填报情况截图及建设单位验收意见。</w:t>
      </w:r>
    </w:p>
    <w:p>
      <w:pPr>
        <w:spacing w:line="560" w:lineRule="exact"/>
        <w:ind w:firstLine="640" w:firstLineChars="200"/>
        <w:rPr>
          <w:rFonts w:eastAsia="仿宋_GB2312"/>
          <w:sz w:val="32"/>
          <w:szCs w:val="32"/>
        </w:rPr>
      </w:pPr>
      <w:r>
        <w:rPr>
          <w:rFonts w:eastAsia="仿宋_GB2312"/>
          <w:sz w:val="32"/>
          <w:szCs w:val="32"/>
        </w:rPr>
        <w:t>（三）检验检测机构资质认定证书及附表复印件。</w:t>
      </w:r>
    </w:p>
    <w:p>
      <w:pPr>
        <w:spacing w:line="560" w:lineRule="exact"/>
        <w:ind w:firstLine="640" w:firstLineChars="200"/>
        <w:rPr>
          <w:rFonts w:eastAsia="仿宋_GB2312"/>
          <w:sz w:val="32"/>
          <w:szCs w:val="32"/>
        </w:rPr>
      </w:pPr>
      <w:r>
        <w:rPr>
          <w:rFonts w:eastAsia="仿宋_GB2312"/>
          <w:sz w:val="32"/>
          <w:szCs w:val="32"/>
        </w:rPr>
        <w:t>（四）检测仪器设备检定、校准证书复印件。</w:t>
      </w:r>
    </w:p>
    <w:p>
      <w:pPr>
        <w:spacing w:line="560" w:lineRule="exact"/>
        <w:ind w:firstLine="640" w:firstLineChars="200"/>
        <w:rPr>
          <w:rFonts w:eastAsia="仿宋_GB2312"/>
          <w:sz w:val="32"/>
          <w:szCs w:val="32"/>
        </w:rPr>
      </w:pPr>
      <w:r>
        <w:rPr>
          <w:rFonts w:eastAsia="仿宋_GB2312"/>
          <w:sz w:val="32"/>
          <w:szCs w:val="32"/>
        </w:rPr>
        <w:t>（五）机动车排气检测人员相关专业技术材料复印件。</w:t>
      </w:r>
    </w:p>
    <w:p>
      <w:pPr>
        <w:spacing w:line="560" w:lineRule="exact"/>
        <w:ind w:firstLine="640" w:firstLineChars="200"/>
        <w:rPr>
          <w:rFonts w:eastAsia="仿宋_GB2312"/>
          <w:sz w:val="32"/>
          <w:szCs w:val="32"/>
        </w:rPr>
      </w:pPr>
      <w:r>
        <w:rPr>
          <w:rFonts w:eastAsia="黑体"/>
          <w:sz w:val="32"/>
          <w:szCs w:val="32"/>
        </w:rPr>
        <w:t>第十五条</w:t>
      </w:r>
      <w:r>
        <w:rPr>
          <w:rFonts w:eastAsia="仿宋_GB2312"/>
          <w:sz w:val="32"/>
          <w:szCs w:val="32"/>
        </w:rPr>
        <w:t xml:space="preserve">  检验机构的法人名称（场地、设备未发生变化）、地址名称、法定代表人、行政负责人、检验机构类别等发生改变的，应在有关信息变更后30天内向市环境监测中心站提交书面材料报告。</w:t>
      </w:r>
    </w:p>
    <w:p>
      <w:pPr>
        <w:spacing w:line="560" w:lineRule="exact"/>
        <w:rPr>
          <w:rFonts w:eastAsia="仿宋_GB2312"/>
          <w:sz w:val="32"/>
          <w:szCs w:val="32"/>
        </w:rPr>
      </w:pPr>
    </w:p>
    <w:p>
      <w:pPr>
        <w:numPr>
          <w:ilvl w:val="0"/>
          <w:numId w:val="2"/>
        </w:numPr>
        <w:spacing w:line="560" w:lineRule="exact"/>
        <w:ind w:firstLine="640"/>
        <w:jc w:val="center"/>
        <w:rPr>
          <w:rFonts w:eastAsia="黑体"/>
          <w:sz w:val="32"/>
          <w:szCs w:val="32"/>
        </w:rPr>
      </w:pPr>
      <w:r>
        <w:rPr>
          <w:rFonts w:eastAsia="黑体"/>
          <w:sz w:val="32"/>
          <w:szCs w:val="32"/>
        </w:rPr>
        <w:t>联网检验机构职责</w:t>
      </w:r>
    </w:p>
    <w:p>
      <w:pPr>
        <w:spacing w:line="560" w:lineRule="exact"/>
        <w:rPr>
          <w:rFonts w:eastAsia="黑体"/>
          <w:sz w:val="32"/>
          <w:szCs w:val="32"/>
        </w:rPr>
      </w:pPr>
    </w:p>
    <w:p>
      <w:pPr>
        <w:spacing w:line="560" w:lineRule="exact"/>
        <w:ind w:firstLine="640" w:firstLineChars="200"/>
        <w:rPr>
          <w:rFonts w:eastAsia="仿宋_GB2312"/>
          <w:sz w:val="32"/>
          <w:szCs w:val="32"/>
        </w:rPr>
      </w:pPr>
      <w:r>
        <w:rPr>
          <w:rFonts w:eastAsia="黑体"/>
          <w:sz w:val="32"/>
          <w:szCs w:val="32"/>
        </w:rPr>
        <w:t xml:space="preserve">第十六条  </w:t>
      </w:r>
      <w:r>
        <w:rPr>
          <w:rFonts w:eastAsia="仿宋_GB2312"/>
          <w:sz w:val="32"/>
          <w:szCs w:val="32"/>
        </w:rPr>
        <w:t>检验机构应当自觉接受生态环境部门的监督管理，遵守以下行为规范：</w:t>
      </w:r>
    </w:p>
    <w:p>
      <w:pPr>
        <w:spacing w:line="560" w:lineRule="exact"/>
        <w:ind w:firstLine="640" w:firstLineChars="200"/>
        <w:rPr>
          <w:rFonts w:eastAsia="仿宋_GB2312"/>
          <w:sz w:val="32"/>
          <w:szCs w:val="32"/>
        </w:rPr>
      </w:pPr>
      <w:r>
        <w:rPr>
          <w:rFonts w:eastAsia="仿宋_GB2312"/>
          <w:sz w:val="32"/>
          <w:szCs w:val="32"/>
        </w:rPr>
        <w:t>（一）严格按照法定的检测方法、标准和规范对机动车进行排气检验，出具真实、准确的检验报告，严禁采用非法软件，对检验结果承担法律责任。</w:t>
      </w:r>
    </w:p>
    <w:p>
      <w:pPr>
        <w:spacing w:line="560" w:lineRule="exact"/>
        <w:ind w:firstLine="640" w:firstLineChars="200"/>
        <w:rPr>
          <w:rFonts w:eastAsia="仿宋_GB2312"/>
          <w:sz w:val="32"/>
          <w:szCs w:val="32"/>
        </w:rPr>
      </w:pPr>
      <w:r>
        <w:rPr>
          <w:rFonts w:eastAsia="仿宋_GB2312"/>
          <w:sz w:val="32"/>
          <w:szCs w:val="32"/>
        </w:rPr>
        <w:t>（二）自觉遵守《广州市机动车检验机构排气检验业务记分管理办法（试行）》（穗环〔2014〕103号）以及相关行业规定，并根据国家和省机动车环保信息联网规范的要求，与生态环境部门实现网络联接，将检测结果报送市生态环境行政主管部门，接受其监督。</w:t>
      </w:r>
    </w:p>
    <w:p>
      <w:pPr>
        <w:spacing w:line="560" w:lineRule="exact"/>
        <w:ind w:firstLine="640" w:firstLineChars="200"/>
        <w:rPr>
          <w:rFonts w:eastAsia="仿宋_GB2312"/>
          <w:sz w:val="32"/>
          <w:szCs w:val="32"/>
        </w:rPr>
      </w:pPr>
      <w:r>
        <w:rPr>
          <w:rFonts w:eastAsia="仿宋_GB2312"/>
          <w:sz w:val="32"/>
          <w:szCs w:val="32"/>
        </w:rPr>
        <w:t>（三）严格按照资质认定的规定，确保内部质量管理体系正常运行，按时对检测仪器设备进行计量检定、校准，定期开展期间核查，配备完整有效的标准物质。</w:t>
      </w:r>
    </w:p>
    <w:p>
      <w:pPr>
        <w:spacing w:line="560" w:lineRule="exact"/>
        <w:ind w:firstLine="640" w:firstLineChars="200"/>
        <w:rPr>
          <w:rFonts w:eastAsia="仿宋_GB2312"/>
          <w:sz w:val="32"/>
          <w:szCs w:val="32"/>
        </w:rPr>
      </w:pPr>
      <w:r>
        <w:rPr>
          <w:rFonts w:eastAsia="仿宋_GB2312"/>
          <w:sz w:val="32"/>
          <w:szCs w:val="32"/>
        </w:rPr>
        <w:t>（四）不得以任何方式经营或者参与经营机动车维修业务。</w:t>
      </w:r>
    </w:p>
    <w:p>
      <w:pPr>
        <w:spacing w:line="560" w:lineRule="exact"/>
        <w:ind w:firstLine="640" w:firstLineChars="200"/>
        <w:rPr>
          <w:rFonts w:eastAsia="仿宋_GB2312"/>
          <w:sz w:val="32"/>
          <w:szCs w:val="32"/>
        </w:rPr>
      </w:pPr>
      <w:r>
        <w:rPr>
          <w:rFonts w:eastAsia="仿宋_GB2312"/>
          <w:sz w:val="32"/>
          <w:szCs w:val="32"/>
        </w:rPr>
        <w:t>（五）不得要求或暗示排气超标车辆到指定的机动车维修企业进行维修治理，不得向车主或驾驶人推销有关机动车排气污染治理产品。</w:t>
      </w:r>
    </w:p>
    <w:p>
      <w:pPr>
        <w:spacing w:line="560" w:lineRule="exact"/>
        <w:ind w:firstLine="640" w:firstLineChars="200"/>
        <w:rPr>
          <w:rFonts w:eastAsia="仿宋_GB2312"/>
          <w:sz w:val="32"/>
          <w:szCs w:val="32"/>
        </w:rPr>
      </w:pPr>
      <w:r>
        <w:rPr>
          <w:rFonts w:eastAsia="仿宋_GB2312"/>
          <w:sz w:val="32"/>
          <w:szCs w:val="32"/>
        </w:rPr>
        <w:t>（六）禁止机动车维修企业、中介机构和个人在检验机构内开展维修业务咨询或招揽生意，对车辆送检人员与检测人员采取隔离措施，避免发生弄虚作假现象。</w:t>
      </w:r>
    </w:p>
    <w:p>
      <w:pPr>
        <w:spacing w:line="560" w:lineRule="exact"/>
        <w:ind w:firstLine="640" w:firstLineChars="200"/>
        <w:rPr>
          <w:rFonts w:eastAsia="仿宋_GB2312"/>
          <w:sz w:val="32"/>
          <w:szCs w:val="32"/>
        </w:rPr>
      </w:pPr>
      <w:r>
        <w:rPr>
          <w:rFonts w:eastAsia="仿宋_GB2312"/>
          <w:sz w:val="32"/>
          <w:szCs w:val="32"/>
        </w:rPr>
        <w:t>（七）加强检测人员的业务培训，使其熟练掌握有关法规、标准规范及车辆基本知识，正确选择检测方法对车辆进行规范检测。</w:t>
      </w:r>
    </w:p>
    <w:p>
      <w:pPr>
        <w:spacing w:line="560" w:lineRule="exact"/>
        <w:ind w:firstLine="640" w:firstLineChars="200"/>
        <w:rPr>
          <w:rFonts w:eastAsia="仿宋_GB2312"/>
          <w:sz w:val="32"/>
          <w:szCs w:val="32"/>
        </w:rPr>
      </w:pPr>
      <w:r>
        <w:rPr>
          <w:rFonts w:eastAsia="仿宋_GB2312"/>
          <w:sz w:val="32"/>
          <w:szCs w:val="32"/>
        </w:rPr>
        <w:t>（八）严格按照有关管理规定，对经检测不符合排放标准的车辆，需核查其在具有一类、二类机动车维修经营资质的维修企业进行维修的记录后，方可进行复检。</w:t>
      </w:r>
    </w:p>
    <w:p>
      <w:pPr>
        <w:spacing w:line="560" w:lineRule="exact"/>
        <w:ind w:firstLine="640" w:firstLineChars="200"/>
        <w:rPr>
          <w:rFonts w:eastAsia="仿宋_GB2312"/>
          <w:sz w:val="32"/>
          <w:szCs w:val="32"/>
        </w:rPr>
      </w:pPr>
      <w:r>
        <w:rPr>
          <w:rFonts w:eastAsia="仿宋_GB2312"/>
          <w:sz w:val="32"/>
          <w:szCs w:val="32"/>
        </w:rPr>
        <w:t>（九）在排气检验前，做好车辆外观检查，防止机动车所有人或其代理人以临时更换机动车污染控制装置等弄虚作假的方式通过排气检验。</w:t>
      </w:r>
    </w:p>
    <w:p>
      <w:pPr>
        <w:spacing w:line="560" w:lineRule="exact"/>
        <w:ind w:firstLine="640" w:firstLineChars="200"/>
        <w:rPr>
          <w:rFonts w:eastAsia="仿宋_GB2312"/>
          <w:sz w:val="32"/>
          <w:szCs w:val="32"/>
        </w:rPr>
      </w:pPr>
      <w:r>
        <w:rPr>
          <w:rFonts w:eastAsia="仿宋_GB2312"/>
          <w:sz w:val="32"/>
          <w:szCs w:val="32"/>
        </w:rPr>
        <w:t>（十）设置计算机专业管理人员，加强对局域网、光纤链路、计算机、服务器、视频等信息化设施的管理和维护，确保其安全、供电正常、链路通畅，以及检测过程数据完整，实时向生态环境部门传输检验数据。</w:t>
      </w:r>
    </w:p>
    <w:p>
      <w:pPr>
        <w:spacing w:line="560" w:lineRule="exact"/>
        <w:ind w:firstLine="640" w:firstLineChars="200"/>
        <w:rPr>
          <w:rFonts w:eastAsia="仿宋_GB2312"/>
          <w:sz w:val="32"/>
          <w:szCs w:val="32"/>
        </w:rPr>
      </w:pPr>
      <w:r>
        <w:rPr>
          <w:rFonts w:eastAsia="仿宋_GB2312"/>
          <w:sz w:val="32"/>
          <w:szCs w:val="32"/>
        </w:rPr>
        <w:t>（十一）视频监控设备满足市生态环境部门管理要求，有关视频监控资料存储周期不低于180天。</w:t>
      </w:r>
    </w:p>
    <w:p>
      <w:pPr>
        <w:spacing w:line="560" w:lineRule="exact"/>
        <w:ind w:firstLine="640" w:firstLineChars="200"/>
        <w:rPr>
          <w:rFonts w:eastAsia="仿宋_GB2312"/>
          <w:sz w:val="32"/>
          <w:szCs w:val="32"/>
        </w:rPr>
      </w:pPr>
      <w:r>
        <w:rPr>
          <w:rFonts w:eastAsia="仿宋_GB2312"/>
          <w:sz w:val="32"/>
          <w:szCs w:val="32"/>
        </w:rPr>
        <w:t>（十二）配合市生态环境主管部门做好检验能力比对试验。</w:t>
      </w:r>
    </w:p>
    <w:p>
      <w:pPr>
        <w:spacing w:line="560" w:lineRule="exact"/>
        <w:ind w:firstLine="640" w:firstLineChars="200"/>
        <w:rPr>
          <w:rFonts w:eastAsia="仿宋_GB2312"/>
          <w:sz w:val="32"/>
          <w:szCs w:val="32"/>
        </w:rPr>
      </w:pPr>
      <w:r>
        <w:rPr>
          <w:rFonts w:eastAsia="黑体"/>
          <w:sz w:val="32"/>
          <w:szCs w:val="32"/>
        </w:rPr>
        <w:t xml:space="preserve">第十七条  </w:t>
      </w:r>
      <w:r>
        <w:rPr>
          <w:rFonts w:eastAsia="仿宋_GB2312"/>
          <w:sz w:val="32"/>
          <w:szCs w:val="32"/>
        </w:rPr>
        <w:t>检验机构应于每年2月底前向市生态环境部门报送上一年度工作报告。主要内容包括：</w:t>
      </w:r>
    </w:p>
    <w:p>
      <w:pPr>
        <w:spacing w:line="560" w:lineRule="exact"/>
        <w:ind w:firstLine="640" w:firstLineChars="200"/>
        <w:rPr>
          <w:rFonts w:eastAsia="仿宋_GB2312"/>
          <w:sz w:val="32"/>
          <w:szCs w:val="32"/>
        </w:rPr>
      </w:pPr>
      <w:r>
        <w:rPr>
          <w:rFonts w:eastAsia="仿宋_GB2312"/>
          <w:sz w:val="32"/>
          <w:szCs w:val="32"/>
        </w:rPr>
        <w:t>（一）检验机构基本情况。包括检测线数量、种类及变更情况，检测能力、检测方法等。</w:t>
      </w:r>
    </w:p>
    <w:p>
      <w:pPr>
        <w:spacing w:line="560" w:lineRule="exact"/>
        <w:ind w:firstLine="640" w:firstLineChars="200"/>
        <w:rPr>
          <w:rFonts w:eastAsia="仿宋_GB2312"/>
          <w:sz w:val="32"/>
          <w:szCs w:val="32"/>
        </w:rPr>
      </w:pPr>
      <w:r>
        <w:rPr>
          <w:rFonts w:eastAsia="仿宋_GB2312"/>
          <w:sz w:val="32"/>
          <w:szCs w:val="32"/>
        </w:rPr>
        <w:t>（二）检验工作情况。包括检验机构联网和资质认定情况，检验机构规章制度执行和质量管理情况，检测设备使用和维护情况，检测系统和数据传输网络情况，检测人员操作技术和专业能力情况，执行有关标准、规范情况，全年检验车辆情况等。</w:t>
      </w:r>
    </w:p>
    <w:p>
      <w:pPr>
        <w:spacing w:line="560" w:lineRule="exact"/>
        <w:ind w:firstLine="640" w:firstLineChars="200"/>
        <w:rPr>
          <w:rFonts w:eastAsia="仿宋_GB2312"/>
          <w:sz w:val="32"/>
          <w:szCs w:val="32"/>
        </w:rPr>
      </w:pPr>
      <w:r>
        <w:rPr>
          <w:rFonts w:eastAsia="仿宋_GB2312"/>
          <w:sz w:val="32"/>
          <w:szCs w:val="32"/>
        </w:rPr>
        <w:t>（三）存在的主要问题和整改措施。</w:t>
      </w:r>
    </w:p>
    <w:p>
      <w:pPr>
        <w:spacing w:line="560" w:lineRule="exact"/>
        <w:ind w:firstLine="640" w:firstLineChars="200"/>
        <w:rPr>
          <w:rFonts w:eastAsia="仿宋_GB2312"/>
          <w:sz w:val="32"/>
          <w:szCs w:val="32"/>
        </w:rPr>
      </w:pPr>
      <w:r>
        <w:rPr>
          <w:rFonts w:eastAsia="仿宋_GB2312"/>
          <w:sz w:val="32"/>
          <w:szCs w:val="32"/>
        </w:rPr>
        <w:t>（四）投诉、异议处理情况。</w:t>
      </w:r>
    </w:p>
    <w:p>
      <w:pPr>
        <w:spacing w:line="560" w:lineRule="exact"/>
        <w:ind w:firstLine="640" w:firstLineChars="200"/>
        <w:rPr>
          <w:rFonts w:eastAsia="仿宋_GB2312"/>
          <w:sz w:val="32"/>
          <w:szCs w:val="32"/>
        </w:rPr>
      </w:pPr>
      <w:r>
        <w:rPr>
          <w:rFonts w:eastAsia="仿宋_GB2312"/>
          <w:sz w:val="32"/>
          <w:szCs w:val="32"/>
        </w:rPr>
        <w:t>（五）下一年度工作计划。</w:t>
      </w:r>
    </w:p>
    <w:p>
      <w:pPr>
        <w:spacing w:line="560" w:lineRule="exact"/>
        <w:rPr>
          <w:rFonts w:eastAsia="仿宋_GB2312"/>
          <w:sz w:val="32"/>
          <w:szCs w:val="32"/>
        </w:rPr>
      </w:pPr>
    </w:p>
    <w:p>
      <w:pPr>
        <w:numPr>
          <w:ilvl w:val="0"/>
          <w:numId w:val="2"/>
        </w:numPr>
        <w:spacing w:line="560" w:lineRule="exact"/>
        <w:ind w:firstLine="640"/>
        <w:jc w:val="center"/>
        <w:rPr>
          <w:rFonts w:eastAsia="黑体"/>
          <w:sz w:val="32"/>
          <w:szCs w:val="32"/>
        </w:rPr>
      </w:pPr>
      <w:r>
        <w:rPr>
          <w:rFonts w:eastAsia="黑体"/>
          <w:sz w:val="32"/>
          <w:szCs w:val="32"/>
        </w:rPr>
        <w:t>监督管理部门职责</w:t>
      </w:r>
    </w:p>
    <w:p>
      <w:pPr>
        <w:spacing w:line="560" w:lineRule="exact"/>
        <w:rPr>
          <w:rFonts w:eastAsia="黑体"/>
          <w:sz w:val="32"/>
          <w:szCs w:val="32"/>
        </w:rPr>
      </w:pPr>
    </w:p>
    <w:p>
      <w:pPr>
        <w:spacing w:line="560" w:lineRule="exact"/>
        <w:ind w:firstLine="640" w:firstLineChars="200"/>
        <w:rPr>
          <w:rFonts w:eastAsia="仿宋_GB2312"/>
          <w:sz w:val="32"/>
          <w:szCs w:val="32"/>
        </w:rPr>
      </w:pPr>
      <w:r>
        <w:rPr>
          <w:rFonts w:eastAsia="黑体"/>
          <w:sz w:val="32"/>
          <w:szCs w:val="32"/>
        </w:rPr>
        <w:t xml:space="preserve">第十八条  </w:t>
      </w:r>
      <w:r>
        <w:rPr>
          <w:rFonts w:eastAsia="仿宋_GB2312"/>
          <w:sz w:val="32"/>
          <w:szCs w:val="32"/>
        </w:rPr>
        <w:t>生态环境部门应当按照以下分工加强对检验机构的监督管理。</w:t>
      </w:r>
    </w:p>
    <w:p>
      <w:pPr>
        <w:spacing w:line="560" w:lineRule="exact"/>
        <w:ind w:firstLine="640" w:firstLineChars="200"/>
        <w:rPr>
          <w:rFonts w:eastAsia="仿宋_GB2312"/>
          <w:sz w:val="32"/>
          <w:szCs w:val="32"/>
        </w:rPr>
      </w:pPr>
      <w:r>
        <w:rPr>
          <w:rFonts w:eastAsia="仿宋_GB2312"/>
          <w:sz w:val="32"/>
          <w:szCs w:val="32"/>
        </w:rPr>
        <w:t>（一）市生态环境局执法机构负责做好检验机构的日常执法监管工作，建立检查执法监管工作机制，依法查处违法违规检验行为。</w:t>
      </w:r>
    </w:p>
    <w:p>
      <w:pPr>
        <w:spacing w:line="560" w:lineRule="exact"/>
        <w:ind w:firstLine="640" w:firstLineChars="200"/>
        <w:rPr>
          <w:rFonts w:eastAsia="仿宋_GB2312"/>
          <w:sz w:val="32"/>
          <w:szCs w:val="32"/>
        </w:rPr>
      </w:pPr>
      <w:r>
        <w:rPr>
          <w:rFonts w:eastAsia="仿宋_GB2312"/>
          <w:sz w:val="32"/>
          <w:szCs w:val="32"/>
        </w:rPr>
        <w:t>（二）市环境监测中心站负责做好检验机构的日常管理工作，建立管理工作机制，协调、处理有关日常事务。</w:t>
      </w:r>
    </w:p>
    <w:p>
      <w:pPr>
        <w:spacing w:line="560" w:lineRule="exact"/>
        <w:ind w:firstLine="640" w:firstLineChars="200"/>
        <w:rPr>
          <w:rFonts w:eastAsia="仿宋_GB2312"/>
          <w:sz w:val="32"/>
          <w:szCs w:val="32"/>
        </w:rPr>
      </w:pPr>
      <w:r>
        <w:rPr>
          <w:rFonts w:eastAsia="仿宋_GB2312"/>
          <w:sz w:val="32"/>
          <w:szCs w:val="32"/>
        </w:rPr>
        <w:t>（三）市环境信息中心负责广州市机动车排放监督管理系统的联网数据接收上传、日常运行维护、系统后续开发等工作，建立相关管理和应急工作机制，保障系统安全稳定运行。</w:t>
      </w:r>
    </w:p>
    <w:p>
      <w:pPr>
        <w:spacing w:line="560" w:lineRule="exact"/>
        <w:ind w:firstLine="640" w:firstLineChars="200"/>
        <w:rPr>
          <w:rFonts w:eastAsia="仿宋_GB2312"/>
          <w:sz w:val="32"/>
          <w:szCs w:val="32"/>
        </w:rPr>
      </w:pPr>
      <w:r>
        <w:rPr>
          <w:rFonts w:hAnsi="黑体" w:eastAsia="黑体"/>
          <w:sz w:val="32"/>
          <w:szCs w:val="32"/>
        </w:rPr>
        <w:t>第十九条</w:t>
      </w:r>
      <w:r>
        <w:rPr>
          <w:rFonts w:eastAsia="仿宋_GB2312"/>
          <w:sz w:val="32"/>
          <w:szCs w:val="32"/>
        </w:rPr>
        <w:t xml:space="preserve">  对检查中发现弄虚作假、伪造检验结果、出具虚假报告、采用非法软件等不符合监管和联网要求的机动车排气检验机构，生态环境部门按照《环境保护部、公安部、国家认监委关于进一步规范排放检验加强机动车环境监督管理工作的通知》（国环规大气〔2016〕2号）处理，按照《中华人民共和国大气污染防治法》有关条款予以处罚，将有关失信信息按照《广州市公共信用信息管理规定》（广州市人民政府令第166号）规定纳入公共信用信息管理系统，依法予以失信惩戒。</w:t>
      </w:r>
    </w:p>
    <w:p>
      <w:pPr>
        <w:spacing w:line="560" w:lineRule="exact"/>
        <w:ind w:firstLine="640" w:firstLineChars="200"/>
        <w:rPr>
          <w:rFonts w:eastAsia="仿宋_GB2312"/>
          <w:sz w:val="32"/>
          <w:szCs w:val="32"/>
        </w:rPr>
      </w:pPr>
      <w:r>
        <w:rPr>
          <w:rFonts w:eastAsia="黑体"/>
          <w:sz w:val="32"/>
          <w:szCs w:val="32"/>
        </w:rPr>
        <w:t xml:space="preserve">第二十条  </w:t>
      </w:r>
      <w:r>
        <w:rPr>
          <w:rFonts w:eastAsia="仿宋_GB2312"/>
          <w:sz w:val="32"/>
          <w:szCs w:val="32"/>
        </w:rPr>
        <w:t>生态环境部门应加强机动车排放检验数据分析，如发现多车检验数据雷同、异地检验业务量过高、同一车型检验合格率异常，首次检验合格率过低但复检合格率过高等情况要及时分析原因，每季度组织一次对数据异常的机动车排气检验机构进行抽查。</w:t>
      </w:r>
    </w:p>
    <w:p>
      <w:pPr>
        <w:spacing w:line="560" w:lineRule="exact"/>
        <w:ind w:firstLine="640" w:firstLineChars="200"/>
        <w:rPr>
          <w:rFonts w:eastAsia="仿宋_GB2312"/>
          <w:sz w:val="32"/>
          <w:szCs w:val="32"/>
        </w:rPr>
      </w:pPr>
      <w:r>
        <w:rPr>
          <w:rFonts w:eastAsia="黑体"/>
          <w:sz w:val="32"/>
          <w:szCs w:val="32"/>
        </w:rPr>
        <w:t xml:space="preserve">第二十一条 </w:t>
      </w:r>
      <w:r>
        <w:rPr>
          <w:rFonts w:eastAsia="仿宋_GB2312"/>
          <w:sz w:val="32"/>
          <w:szCs w:val="32"/>
        </w:rPr>
        <w:t xml:space="preserve"> 生态环境部门应加强对检验机构的监管，对违反相关法律法规和技术规范进行机动车排气污染检测的，其检测数据无效，不予接收相关检测数据。</w:t>
      </w:r>
    </w:p>
    <w:p>
      <w:pPr>
        <w:spacing w:line="560" w:lineRule="exact"/>
        <w:ind w:firstLine="640" w:firstLineChars="200"/>
        <w:rPr>
          <w:rFonts w:eastAsia="仿宋_GB2312"/>
          <w:sz w:val="32"/>
          <w:szCs w:val="32"/>
        </w:rPr>
      </w:pPr>
      <w:r>
        <w:rPr>
          <w:rFonts w:eastAsia="黑体"/>
          <w:sz w:val="32"/>
          <w:szCs w:val="32"/>
        </w:rPr>
        <w:t xml:space="preserve">第二十二条  </w:t>
      </w:r>
      <w:r>
        <w:rPr>
          <w:rFonts w:eastAsia="仿宋_GB2312"/>
          <w:sz w:val="32"/>
          <w:szCs w:val="32"/>
        </w:rPr>
        <w:t>排气检验联网资料审核、技术核查等工作均不收取任何费用。</w:t>
      </w:r>
    </w:p>
    <w:p>
      <w:pPr>
        <w:spacing w:line="560" w:lineRule="exact"/>
        <w:ind w:firstLine="640" w:firstLineChars="200"/>
        <w:rPr>
          <w:rFonts w:eastAsia="仿宋_GB2312"/>
          <w:sz w:val="32"/>
          <w:szCs w:val="32"/>
        </w:rPr>
      </w:pPr>
      <w:r>
        <w:rPr>
          <w:rFonts w:eastAsia="黑体"/>
          <w:sz w:val="32"/>
          <w:szCs w:val="32"/>
        </w:rPr>
        <w:t xml:space="preserve">第二十三条  </w:t>
      </w:r>
      <w:r>
        <w:rPr>
          <w:rFonts w:eastAsia="仿宋_GB2312"/>
          <w:sz w:val="32"/>
          <w:szCs w:val="32"/>
        </w:rPr>
        <w:t>检验机构违反有关环保法律法规规定的，按照《中华人民共和国大气污染防治法》、《广东省机动车排气污染防治条例》等有关规定依法查处。</w:t>
      </w:r>
    </w:p>
    <w:p>
      <w:pPr>
        <w:spacing w:line="560" w:lineRule="exact"/>
        <w:ind w:firstLine="640" w:firstLineChars="200"/>
        <w:rPr>
          <w:rFonts w:eastAsia="仿宋_GB2312"/>
          <w:sz w:val="32"/>
          <w:szCs w:val="32"/>
        </w:rPr>
      </w:pPr>
    </w:p>
    <w:p>
      <w:pPr>
        <w:numPr>
          <w:ilvl w:val="0"/>
          <w:numId w:val="2"/>
        </w:numPr>
        <w:spacing w:line="560" w:lineRule="exact"/>
        <w:ind w:firstLine="640"/>
        <w:jc w:val="center"/>
        <w:rPr>
          <w:rFonts w:eastAsia="黑体"/>
          <w:sz w:val="32"/>
          <w:szCs w:val="32"/>
        </w:rPr>
      </w:pPr>
      <w:r>
        <w:rPr>
          <w:rFonts w:eastAsia="黑体"/>
          <w:sz w:val="32"/>
          <w:szCs w:val="32"/>
        </w:rPr>
        <w:t xml:space="preserve"> 附  则</w:t>
      </w:r>
    </w:p>
    <w:p>
      <w:pPr>
        <w:spacing w:line="560" w:lineRule="exact"/>
        <w:rPr>
          <w:rFonts w:eastAsia="黑体"/>
          <w:sz w:val="32"/>
          <w:szCs w:val="32"/>
        </w:rPr>
      </w:pPr>
    </w:p>
    <w:p>
      <w:pPr>
        <w:spacing w:line="560" w:lineRule="exact"/>
        <w:ind w:firstLine="640" w:firstLineChars="200"/>
        <w:rPr>
          <w:rFonts w:eastAsia="仿宋_GB2312"/>
          <w:sz w:val="32"/>
          <w:szCs w:val="32"/>
        </w:rPr>
      </w:pPr>
      <w:r>
        <w:rPr>
          <w:rFonts w:eastAsia="黑体"/>
          <w:sz w:val="32"/>
          <w:szCs w:val="32"/>
        </w:rPr>
        <w:t xml:space="preserve">第二十四条 </w:t>
      </w:r>
      <w:r>
        <w:rPr>
          <w:rFonts w:eastAsia="仿宋_GB2312"/>
          <w:sz w:val="32"/>
          <w:szCs w:val="32"/>
        </w:rPr>
        <w:t xml:space="preserve"> 本办法自印发之日起施行，有效期3年。</w:t>
      </w: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p>
    <w:p>
      <w:pPr>
        <w:spacing w:line="560" w:lineRule="exact"/>
        <w:ind w:firstLine="640" w:firstLineChars="200"/>
        <w:rPr>
          <w:rFonts w:eastAsia="仿宋_GB2312"/>
          <w:sz w:val="32"/>
          <w:szCs w:val="32"/>
        </w:rPr>
      </w:pPr>
      <w:r>
        <w:rPr>
          <w:rFonts w:eastAsia="仿宋_GB2312"/>
          <w:sz w:val="32"/>
          <w:szCs w:val="32"/>
        </w:rPr>
        <w:t>附件：1. 广州市机动车排气检验机构联网技术核查指引</w:t>
      </w:r>
    </w:p>
    <w:p>
      <w:pPr>
        <w:spacing w:line="560" w:lineRule="exact"/>
        <w:ind w:firstLine="640" w:firstLineChars="200"/>
        <w:rPr>
          <w:rFonts w:eastAsia="仿宋_GB2312"/>
          <w:sz w:val="32"/>
          <w:szCs w:val="32"/>
        </w:rPr>
      </w:pPr>
      <w:r>
        <w:rPr>
          <w:rFonts w:eastAsia="仿宋_GB2312"/>
          <w:sz w:val="32"/>
          <w:szCs w:val="32"/>
        </w:rPr>
        <w:t xml:space="preserve">      2. 广州市机动车排气检验机构联网信息表</w:t>
      </w:r>
    </w:p>
    <w:p>
      <w:pPr>
        <w:spacing w:line="560" w:lineRule="exact"/>
        <w:ind w:firstLine="1600" w:firstLineChars="500"/>
        <w:rPr>
          <w:rFonts w:eastAsia="仿宋_GB2312"/>
          <w:sz w:val="32"/>
          <w:szCs w:val="32"/>
        </w:rPr>
      </w:pPr>
      <w:r>
        <w:rPr>
          <w:rFonts w:eastAsia="仿宋_GB2312"/>
          <w:sz w:val="32"/>
          <w:szCs w:val="32"/>
        </w:rPr>
        <w:t>3. 广州市机动车排气检验机构联网变更信息表</w:t>
      </w:r>
    </w:p>
    <w:p>
      <w:pPr>
        <w:spacing w:line="560" w:lineRule="exact"/>
        <w:ind w:firstLine="1600" w:firstLineChars="500"/>
        <w:rPr>
          <w:rFonts w:eastAsia="仿宋_GB2312"/>
          <w:sz w:val="32"/>
          <w:szCs w:val="32"/>
        </w:rPr>
      </w:pPr>
      <w:r>
        <w:rPr>
          <w:rFonts w:eastAsia="仿宋_GB2312"/>
          <w:sz w:val="32"/>
          <w:szCs w:val="32"/>
        </w:rPr>
        <w:t>4. 相关网址、地址、联系方式：</w:t>
      </w:r>
    </w:p>
    <w:p>
      <w:pPr>
        <w:spacing w:line="560" w:lineRule="exact"/>
        <w:ind w:firstLine="1600" w:firstLineChars="500"/>
        <w:rPr>
          <w:rFonts w:eastAsia="仿宋_GB2312"/>
          <w:sz w:val="32"/>
          <w:szCs w:val="32"/>
        </w:rPr>
      </w:pPr>
      <w:r>
        <w:rPr>
          <w:rFonts w:eastAsia="仿宋_GB2312"/>
          <w:sz w:val="32"/>
          <w:szCs w:val="32"/>
        </w:rPr>
        <w:t>广州生态环境网网址</w:t>
      </w:r>
      <w:bookmarkStart w:id="0" w:name="_GoBack"/>
      <w:bookmarkEnd w:id="0"/>
      <w:r>
        <w:rPr>
          <w:rFonts w:eastAsia="仿宋_GB2312"/>
          <w:sz w:val="32"/>
          <w:szCs w:val="32"/>
        </w:rPr>
        <w:t>。</w:t>
      </w:r>
    </w:p>
    <w:p>
      <w:pPr>
        <w:spacing w:line="560" w:lineRule="exact"/>
        <w:ind w:left="1596"/>
        <w:rPr>
          <w:rFonts w:eastAsia="仿宋_GB2312"/>
          <w:sz w:val="32"/>
          <w:szCs w:val="32"/>
        </w:rPr>
      </w:pPr>
      <w:r>
        <w:rPr>
          <w:rFonts w:eastAsia="仿宋_GB2312"/>
          <w:sz w:val="32"/>
          <w:szCs w:val="32"/>
        </w:rPr>
        <w:t>广州市环境监测中心站地址：广州市番禺区大学城中心南大街19号，联系电话：83319260。</w:t>
      </w:r>
    </w:p>
    <w:p>
      <w:pPr>
        <w:spacing w:line="590" w:lineRule="exact"/>
        <w:rPr>
          <w:rFonts w:eastAsia="黑体"/>
          <w:sz w:val="32"/>
          <w:szCs w:val="32"/>
        </w:rPr>
      </w:pPr>
    </w:p>
    <w:p>
      <w:pPr>
        <w:spacing w:line="590" w:lineRule="exact"/>
        <w:rPr>
          <w:rFonts w:eastAsia="黑体"/>
          <w:sz w:val="32"/>
          <w:szCs w:val="32"/>
        </w:rPr>
      </w:pPr>
    </w:p>
    <w:p>
      <w:pPr>
        <w:spacing w:line="590" w:lineRule="exact"/>
        <w:rPr>
          <w:rFonts w:eastAsia="黑体"/>
          <w:sz w:val="32"/>
          <w:szCs w:val="32"/>
        </w:rPr>
      </w:pPr>
    </w:p>
    <w:p>
      <w:pPr>
        <w:spacing w:line="590" w:lineRule="exact"/>
        <w:rPr>
          <w:rFonts w:eastAsia="黑体"/>
          <w:sz w:val="32"/>
          <w:szCs w:val="32"/>
        </w:rPr>
      </w:pPr>
      <w:r>
        <w:rPr>
          <w:rFonts w:eastAsia="黑体"/>
          <w:sz w:val="32"/>
          <w:szCs w:val="32"/>
        </w:rPr>
        <w:t>附件1</w:t>
      </w:r>
    </w:p>
    <w:p>
      <w:pPr>
        <w:spacing w:line="590" w:lineRule="exact"/>
        <w:rPr>
          <w:rFonts w:eastAsia="仿宋_GB2312"/>
          <w:sz w:val="32"/>
          <w:szCs w:val="32"/>
        </w:rPr>
      </w:pPr>
    </w:p>
    <w:p>
      <w:pPr>
        <w:spacing w:line="590" w:lineRule="exact"/>
        <w:jc w:val="center"/>
        <w:rPr>
          <w:rFonts w:eastAsia="方正小标宋简体"/>
          <w:sz w:val="44"/>
          <w:szCs w:val="44"/>
        </w:rPr>
      </w:pPr>
      <w:r>
        <w:rPr>
          <w:rFonts w:eastAsia="方正小标宋简体"/>
          <w:sz w:val="44"/>
          <w:szCs w:val="44"/>
        </w:rPr>
        <w:t>广州市机动车排气检验机构</w:t>
      </w:r>
    </w:p>
    <w:p>
      <w:pPr>
        <w:spacing w:line="590" w:lineRule="exact"/>
        <w:jc w:val="center"/>
        <w:rPr>
          <w:rFonts w:eastAsia="仿宋_GB2312"/>
          <w:sz w:val="32"/>
          <w:szCs w:val="32"/>
        </w:rPr>
      </w:pPr>
      <w:r>
        <w:rPr>
          <w:rFonts w:eastAsia="方正小标宋简体"/>
          <w:sz w:val="44"/>
          <w:szCs w:val="44"/>
        </w:rPr>
        <w:t>联网技术核查指引</w:t>
      </w:r>
    </w:p>
    <w:p>
      <w:pPr>
        <w:spacing w:line="590" w:lineRule="exact"/>
        <w:rPr>
          <w:rFonts w:eastAsia="仿宋_GB2312"/>
          <w:sz w:val="32"/>
          <w:szCs w:val="32"/>
        </w:rPr>
      </w:pPr>
    </w:p>
    <w:p>
      <w:pPr>
        <w:spacing w:line="590" w:lineRule="exact"/>
        <w:ind w:firstLine="640" w:firstLineChars="200"/>
        <w:rPr>
          <w:rFonts w:eastAsia="仿宋_GB2312"/>
          <w:sz w:val="32"/>
          <w:szCs w:val="32"/>
        </w:rPr>
      </w:pPr>
      <w:r>
        <w:rPr>
          <w:rFonts w:eastAsia="仿宋_GB2312"/>
          <w:sz w:val="32"/>
          <w:szCs w:val="32"/>
        </w:rPr>
        <w:t>为从技术上加强和规范机动车排气检验联网工作，指导机动车检验机构按规定做好联网核查相关工作，确保其符合有关标准、规范的要求，根据《广州市机动车排放检验机构监管和联网实施办法》，制定本指引。</w:t>
      </w:r>
    </w:p>
    <w:p>
      <w:pPr>
        <w:spacing w:line="590" w:lineRule="exact"/>
        <w:ind w:firstLine="640" w:firstLineChars="200"/>
        <w:rPr>
          <w:rFonts w:eastAsia="黑体"/>
          <w:sz w:val="32"/>
          <w:szCs w:val="32"/>
        </w:rPr>
      </w:pPr>
      <w:r>
        <w:rPr>
          <w:rFonts w:eastAsia="黑体"/>
          <w:sz w:val="32"/>
          <w:szCs w:val="32"/>
        </w:rPr>
        <w:t>一、主要依据</w:t>
      </w:r>
    </w:p>
    <w:p>
      <w:pPr>
        <w:spacing w:line="590" w:lineRule="exact"/>
        <w:ind w:firstLine="640" w:firstLineChars="200"/>
        <w:rPr>
          <w:rFonts w:eastAsia="仿宋_GB2312"/>
          <w:sz w:val="32"/>
          <w:szCs w:val="32"/>
        </w:rPr>
      </w:pPr>
      <w:r>
        <w:rPr>
          <w:rFonts w:eastAsia="仿宋_GB2312"/>
          <w:sz w:val="32"/>
          <w:szCs w:val="32"/>
        </w:rPr>
        <w:t>（一）中华人民共和国大气污染防治法（2018年修正）。</w:t>
      </w:r>
    </w:p>
    <w:p>
      <w:pPr>
        <w:spacing w:line="590" w:lineRule="exact"/>
        <w:ind w:firstLine="640" w:firstLineChars="200"/>
        <w:rPr>
          <w:rFonts w:eastAsia="仿宋_GB2312"/>
          <w:sz w:val="32"/>
          <w:szCs w:val="32"/>
        </w:rPr>
      </w:pPr>
      <w:r>
        <w:rPr>
          <w:rFonts w:eastAsia="仿宋_GB2312"/>
          <w:sz w:val="32"/>
          <w:szCs w:val="32"/>
        </w:rPr>
        <w:t>（二）广东省大气污染防治条例（2019年施行）</w:t>
      </w:r>
    </w:p>
    <w:p>
      <w:pPr>
        <w:spacing w:line="590" w:lineRule="exact"/>
        <w:ind w:firstLine="640" w:firstLineChars="200"/>
        <w:rPr>
          <w:rFonts w:eastAsia="仿宋_GB2312"/>
          <w:sz w:val="32"/>
          <w:szCs w:val="32"/>
        </w:rPr>
      </w:pPr>
      <w:r>
        <w:rPr>
          <w:rFonts w:eastAsia="仿宋_GB2312"/>
          <w:sz w:val="32"/>
          <w:szCs w:val="32"/>
        </w:rPr>
        <w:t>（三）广东省机动车排气污染防治条例（2018年修正）。</w:t>
      </w:r>
    </w:p>
    <w:p>
      <w:pPr>
        <w:spacing w:line="590" w:lineRule="exact"/>
        <w:ind w:firstLine="640" w:firstLineChars="200"/>
        <w:rPr>
          <w:rFonts w:eastAsia="仿宋_GB2312"/>
          <w:sz w:val="32"/>
          <w:szCs w:val="32"/>
        </w:rPr>
      </w:pPr>
      <w:r>
        <w:rPr>
          <w:rFonts w:eastAsia="仿宋_GB2312"/>
          <w:sz w:val="32"/>
          <w:szCs w:val="32"/>
        </w:rPr>
        <w:t>（四）广州市机动车排气污染防治规定（2019年修订）。</w:t>
      </w:r>
    </w:p>
    <w:p>
      <w:pPr>
        <w:spacing w:line="590" w:lineRule="exact"/>
        <w:ind w:firstLine="640" w:firstLineChars="200"/>
        <w:rPr>
          <w:rFonts w:eastAsia="仿宋_GB2312"/>
          <w:sz w:val="32"/>
          <w:szCs w:val="32"/>
        </w:rPr>
      </w:pPr>
      <w:r>
        <w:rPr>
          <w:rFonts w:eastAsia="仿宋_GB2312"/>
          <w:sz w:val="32"/>
          <w:szCs w:val="32"/>
        </w:rPr>
        <w:t>（五）关于进一步规范排放检验加强机动车环境监督管理工作的通知（国环规大气〔2016〕2号）</w:t>
      </w:r>
    </w:p>
    <w:p>
      <w:pPr>
        <w:spacing w:line="590" w:lineRule="exact"/>
        <w:ind w:firstLine="640" w:firstLineChars="200"/>
        <w:rPr>
          <w:rFonts w:eastAsia="仿宋_GB2312"/>
          <w:sz w:val="32"/>
          <w:szCs w:val="32"/>
        </w:rPr>
      </w:pPr>
      <w:r>
        <w:rPr>
          <w:rFonts w:eastAsia="仿宋_GB2312"/>
          <w:sz w:val="32"/>
          <w:szCs w:val="32"/>
        </w:rPr>
        <w:t>（六）关于印发《广东省环境保护厅关于机动车排放检验机构监管和联网工作的规范》的通知（粤环〔2016〕881号）。</w:t>
      </w:r>
    </w:p>
    <w:p>
      <w:pPr>
        <w:spacing w:line="590" w:lineRule="exact"/>
        <w:ind w:firstLine="640" w:firstLineChars="200"/>
        <w:rPr>
          <w:rFonts w:eastAsia="仿宋_GB2312"/>
          <w:sz w:val="32"/>
          <w:szCs w:val="32"/>
        </w:rPr>
      </w:pPr>
      <w:r>
        <w:rPr>
          <w:rFonts w:eastAsia="仿宋_GB2312"/>
          <w:sz w:val="32"/>
          <w:szCs w:val="32"/>
        </w:rPr>
        <w:t>（七）柴油车污染物排放限值及测量方法（自由加速法及加载减速法）（GB 3847-2018）。</w:t>
      </w:r>
    </w:p>
    <w:p>
      <w:pPr>
        <w:spacing w:line="590" w:lineRule="exact"/>
        <w:ind w:firstLine="640" w:firstLineChars="200"/>
        <w:rPr>
          <w:rFonts w:eastAsia="仿宋_GB2312"/>
          <w:sz w:val="32"/>
          <w:szCs w:val="32"/>
        </w:rPr>
      </w:pPr>
      <w:r>
        <w:rPr>
          <w:rFonts w:eastAsia="仿宋_GB2312"/>
          <w:sz w:val="32"/>
          <w:szCs w:val="32"/>
        </w:rPr>
        <w:t>（八）汽油车污染物排放限值及测量方法（双怠速法及简易工况法）（GB18285-2018）。</w:t>
      </w:r>
    </w:p>
    <w:p>
      <w:pPr>
        <w:spacing w:line="590" w:lineRule="exact"/>
        <w:ind w:firstLine="640" w:firstLineChars="200"/>
        <w:rPr>
          <w:rFonts w:eastAsia="黑体"/>
          <w:sz w:val="32"/>
          <w:szCs w:val="32"/>
        </w:rPr>
      </w:pPr>
      <w:r>
        <w:rPr>
          <w:rFonts w:eastAsia="黑体"/>
          <w:sz w:val="32"/>
          <w:szCs w:val="32"/>
        </w:rPr>
        <w:t>二、核查人员</w:t>
      </w:r>
    </w:p>
    <w:p>
      <w:pPr>
        <w:spacing w:line="590" w:lineRule="exact"/>
        <w:ind w:firstLine="640" w:firstLineChars="200"/>
        <w:rPr>
          <w:rFonts w:eastAsia="仿宋_GB2312"/>
          <w:sz w:val="32"/>
          <w:szCs w:val="32"/>
        </w:rPr>
      </w:pPr>
      <w:r>
        <w:rPr>
          <w:rFonts w:eastAsia="仿宋_GB2312"/>
          <w:sz w:val="32"/>
          <w:szCs w:val="32"/>
        </w:rPr>
        <w:t>市环境监测中心站会同有关行业协会组织成立技术核查组。核查组原则上不少于3人，设组长一名。</w:t>
      </w:r>
    </w:p>
    <w:p>
      <w:pPr>
        <w:spacing w:line="590" w:lineRule="exact"/>
        <w:ind w:firstLine="640" w:firstLineChars="200"/>
        <w:rPr>
          <w:rFonts w:eastAsia="黑体"/>
          <w:sz w:val="32"/>
          <w:szCs w:val="32"/>
        </w:rPr>
      </w:pPr>
      <w:r>
        <w:rPr>
          <w:rFonts w:eastAsia="黑体"/>
          <w:sz w:val="32"/>
          <w:szCs w:val="32"/>
        </w:rPr>
        <w:t>三、核查内容</w:t>
      </w:r>
    </w:p>
    <w:p>
      <w:pPr>
        <w:spacing w:line="590" w:lineRule="exact"/>
        <w:ind w:firstLine="640" w:firstLineChars="200"/>
        <w:rPr>
          <w:rFonts w:eastAsia="仿宋_GB2312"/>
          <w:sz w:val="32"/>
          <w:szCs w:val="32"/>
        </w:rPr>
      </w:pPr>
      <w:r>
        <w:rPr>
          <w:rFonts w:eastAsia="仿宋_GB2312"/>
          <w:sz w:val="32"/>
          <w:szCs w:val="32"/>
        </w:rPr>
        <w:t>主要对检验机构的联网材料符合性、管理规范性、检测能力、执行有关标准情况进行现场核查，并对检验场所及设备情况进行符合性核查。核查内容详见《广州市机动车排气检验机构联网技术核查表》。</w:t>
      </w:r>
    </w:p>
    <w:p>
      <w:pPr>
        <w:spacing w:line="590" w:lineRule="exact"/>
        <w:ind w:firstLine="640" w:firstLineChars="200"/>
        <w:rPr>
          <w:rFonts w:eastAsia="黑体"/>
          <w:sz w:val="32"/>
          <w:szCs w:val="32"/>
        </w:rPr>
      </w:pPr>
      <w:r>
        <w:rPr>
          <w:rFonts w:eastAsia="黑体"/>
          <w:sz w:val="32"/>
          <w:szCs w:val="32"/>
        </w:rPr>
        <w:t>四、工作程序</w:t>
      </w:r>
    </w:p>
    <w:p>
      <w:pPr>
        <w:spacing w:line="590" w:lineRule="exact"/>
        <w:ind w:firstLine="640" w:firstLineChars="200"/>
        <w:rPr>
          <w:rFonts w:eastAsia="仿宋_GB2312"/>
          <w:sz w:val="32"/>
          <w:szCs w:val="32"/>
        </w:rPr>
      </w:pPr>
      <w:r>
        <w:rPr>
          <w:rFonts w:eastAsia="仿宋_GB2312"/>
          <w:sz w:val="32"/>
          <w:szCs w:val="32"/>
        </w:rPr>
        <w:t>1. 检验机构应向市环境监测中心站提出技术核查需求，按要求提交有关资料：</w:t>
      </w:r>
    </w:p>
    <w:p>
      <w:pPr>
        <w:spacing w:line="590" w:lineRule="exact"/>
        <w:ind w:firstLine="640" w:firstLineChars="200"/>
        <w:rPr>
          <w:rFonts w:eastAsia="仿宋_GB2312"/>
          <w:sz w:val="32"/>
          <w:szCs w:val="32"/>
        </w:rPr>
      </w:pPr>
      <w:r>
        <w:rPr>
          <w:rFonts w:eastAsia="仿宋_GB2312"/>
          <w:sz w:val="32"/>
          <w:szCs w:val="32"/>
        </w:rPr>
        <w:t>市环境监测中心站对资料符合规定的予以核查，并出具核查单。</w:t>
      </w:r>
    </w:p>
    <w:p>
      <w:pPr>
        <w:spacing w:line="590" w:lineRule="exact"/>
        <w:ind w:firstLine="640" w:firstLineChars="200"/>
        <w:rPr>
          <w:rFonts w:eastAsia="仿宋_GB2312"/>
          <w:sz w:val="32"/>
          <w:szCs w:val="32"/>
        </w:rPr>
      </w:pPr>
      <w:r>
        <w:rPr>
          <w:rFonts w:eastAsia="仿宋_GB2312"/>
          <w:sz w:val="32"/>
          <w:szCs w:val="32"/>
        </w:rPr>
        <w:t>2. 市环境监测中心站自接收联网材料之日起15个工作日内组织开展技术核查。</w:t>
      </w:r>
    </w:p>
    <w:p>
      <w:pPr>
        <w:spacing w:line="590" w:lineRule="exact"/>
        <w:ind w:firstLine="640" w:firstLineChars="200"/>
        <w:rPr>
          <w:rFonts w:eastAsia="仿宋_GB2312"/>
          <w:sz w:val="32"/>
          <w:szCs w:val="32"/>
        </w:rPr>
      </w:pPr>
      <w:r>
        <w:rPr>
          <w:rFonts w:eastAsia="仿宋_GB2312"/>
          <w:sz w:val="32"/>
          <w:szCs w:val="32"/>
        </w:rPr>
        <w:t>3. 现场技术核查后，由核查组填写《广州市机动车排气检验机构联网技术核查表》。</w:t>
      </w:r>
    </w:p>
    <w:p>
      <w:pPr>
        <w:spacing w:line="590" w:lineRule="exact"/>
        <w:ind w:firstLine="640" w:firstLineChars="200"/>
        <w:rPr>
          <w:rFonts w:eastAsia="仿宋_GB2312"/>
          <w:sz w:val="32"/>
          <w:szCs w:val="32"/>
        </w:rPr>
      </w:pPr>
      <w:r>
        <w:rPr>
          <w:rFonts w:eastAsia="仿宋_GB2312"/>
          <w:sz w:val="32"/>
          <w:szCs w:val="32"/>
        </w:rPr>
        <w:t>4. 经技术核查符合条件的，由市环境监测中心站在15个工作日内出具技术核查意见和联网建议。</w:t>
      </w:r>
    </w:p>
    <w:p>
      <w:pPr>
        <w:spacing w:line="590" w:lineRule="exact"/>
        <w:ind w:firstLine="640" w:firstLineChars="200"/>
        <w:rPr>
          <w:rFonts w:eastAsia="仿宋_GB2312"/>
          <w:sz w:val="32"/>
          <w:szCs w:val="32"/>
        </w:rPr>
      </w:pPr>
      <w:r>
        <w:rPr>
          <w:rFonts w:eastAsia="仿宋_GB2312"/>
          <w:sz w:val="32"/>
          <w:szCs w:val="32"/>
        </w:rPr>
        <w:t>5. 经技术核查不符合条件的，由技术核查组出具整改意见。检验机构按要求完成整改后，向市环境监测中心站提交整改报告，并提出复核。</w:t>
      </w:r>
    </w:p>
    <w:p>
      <w:pPr>
        <w:spacing w:line="590" w:lineRule="exact"/>
        <w:ind w:firstLine="640" w:firstLineChars="200"/>
        <w:rPr>
          <w:rFonts w:eastAsia="仿宋_GB2312"/>
          <w:sz w:val="32"/>
          <w:szCs w:val="32"/>
        </w:rPr>
      </w:pPr>
      <w:r>
        <w:rPr>
          <w:rFonts w:eastAsia="仿宋_GB2312"/>
          <w:sz w:val="32"/>
          <w:szCs w:val="32"/>
        </w:rPr>
        <w:t>6. 市环境监测中心站收到复核需求后，按照上述程序组织复核。</w:t>
      </w:r>
    </w:p>
    <w:p>
      <w:pPr>
        <w:spacing w:line="590" w:lineRule="exact"/>
        <w:ind w:firstLine="640" w:firstLineChars="200"/>
        <w:rPr>
          <w:rFonts w:eastAsia="黑体"/>
          <w:sz w:val="32"/>
          <w:szCs w:val="32"/>
        </w:rPr>
      </w:pPr>
      <w:r>
        <w:rPr>
          <w:rFonts w:eastAsia="黑体"/>
          <w:sz w:val="32"/>
          <w:szCs w:val="32"/>
        </w:rPr>
        <w:t>五、其他要求</w:t>
      </w:r>
    </w:p>
    <w:p>
      <w:pPr>
        <w:spacing w:line="590" w:lineRule="exact"/>
        <w:ind w:firstLine="640" w:firstLineChars="200"/>
        <w:rPr>
          <w:rFonts w:eastAsia="仿宋_GB2312"/>
          <w:sz w:val="32"/>
          <w:szCs w:val="32"/>
        </w:rPr>
      </w:pPr>
      <w:r>
        <w:rPr>
          <w:rFonts w:eastAsia="仿宋_GB2312"/>
          <w:sz w:val="32"/>
          <w:szCs w:val="32"/>
        </w:rPr>
        <w:t>（一）为保障全市检测线的合理布局和检测工作的顺利进行，避免检验机构造成不必要的损失，新建检验机构或已联网检验机构拟办理联网变更手续的，应在相关基础设施建设前向市环境监测中心站提出需求，提交报告、建设项目环境影响评价文件批复（建设项目环境影响登记表）、拟建检测线工位图等有关材料；市环境监测中心站对建设场地、检测线布局、技术条件等进行评估，提出评估意见并报市生态环境局审定。（检验机构因改变主要检测设备或工控软件而办理联网变更手续的，经检验机构同意，可免于评估流程。）</w:t>
      </w:r>
    </w:p>
    <w:p>
      <w:pPr>
        <w:spacing w:line="590" w:lineRule="exact"/>
        <w:ind w:firstLine="640" w:firstLineChars="200"/>
        <w:rPr>
          <w:rFonts w:eastAsia="仿宋_GB2312"/>
          <w:sz w:val="32"/>
          <w:szCs w:val="32"/>
        </w:rPr>
      </w:pPr>
      <w:r>
        <w:rPr>
          <w:rFonts w:eastAsia="仿宋_GB2312"/>
          <w:sz w:val="32"/>
          <w:szCs w:val="32"/>
        </w:rPr>
        <w:t>（二）检验机构应按以下要求配合做好相关工作：</w:t>
      </w:r>
    </w:p>
    <w:p>
      <w:pPr>
        <w:spacing w:line="590" w:lineRule="exact"/>
        <w:ind w:firstLine="640" w:firstLineChars="200"/>
        <w:rPr>
          <w:rFonts w:eastAsia="仿宋_GB2312"/>
          <w:sz w:val="32"/>
          <w:szCs w:val="32"/>
        </w:rPr>
      </w:pPr>
      <w:r>
        <w:rPr>
          <w:rFonts w:eastAsia="仿宋_GB2312"/>
          <w:sz w:val="32"/>
          <w:szCs w:val="32"/>
        </w:rPr>
        <w:t>1. 提交准确、真实、齐全的联网材料。</w:t>
      </w:r>
    </w:p>
    <w:p>
      <w:pPr>
        <w:spacing w:line="590" w:lineRule="exact"/>
        <w:ind w:firstLine="640" w:firstLineChars="200"/>
        <w:rPr>
          <w:rFonts w:eastAsia="仿宋_GB2312"/>
          <w:sz w:val="32"/>
          <w:szCs w:val="32"/>
        </w:rPr>
      </w:pPr>
      <w:r>
        <w:rPr>
          <w:rFonts w:eastAsia="仿宋_GB2312"/>
          <w:sz w:val="32"/>
          <w:szCs w:val="32"/>
        </w:rPr>
        <w:t>2. 现场核查前，预先准备好联网材料原件备查。</w:t>
      </w:r>
    </w:p>
    <w:p>
      <w:pPr>
        <w:spacing w:line="590" w:lineRule="exact"/>
        <w:ind w:firstLine="640" w:firstLineChars="200"/>
        <w:rPr>
          <w:rFonts w:eastAsia="仿宋_GB2312"/>
          <w:sz w:val="32"/>
          <w:szCs w:val="32"/>
        </w:rPr>
      </w:pPr>
      <w:r>
        <w:rPr>
          <w:rFonts w:eastAsia="仿宋_GB2312"/>
          <w:sz w:val="32"/>
          <w:szCs w:val="32"/>
        </w:rPr>
        <w:t>3. 现场核查前对检测设备进行检查，确保检测设备性能良好。</w:t>
      </w:r>
    </w:p>
    <w:p>
      <w:pPr>
        <w:spacing w:line="590" w:lineRule="exact"/>
        <w:ind w:firstLine="640" w:firstLineChars="200"/>
        <w:rPr>
          <w:rFonts w:eastAsia="仿宋_GB2312"/>
          <w:sz w:val="32"/>
          <w:szCs w:val="32"/>
        </w:rPr>
      </w:pPr>
      <w:r>
        <w:rPr>
          <w:rFonts w:eastAsia="仿宋_GB2312"/>
          <w:sz w:val="32"/>
          <w:szCs w:val="32"/>
        </w:rPr>
        <w:t>4. 准备性能良好、符合测试要求的车辆，配备符合要求的标准气体及滤光片等标准物质。</w:t>
      </w:r>
    </w:p>
    <w:p>
      <w:pPr>
        <w:spacing w:line="590" w:lineRule="exact"/>
        <w:ind w:firstLine="640" w:firstLineChars="200"/>
        <w:rPr>
          <w:rFonts w:eastAsia="仿宋_GB2312"/>
          <w:sz w:val="32"/>
          <w:szCs w:val="32"/>
        </w:rPr>
      </w:pPr>
      <w:r>
        <w:rPr>
          <w:rFonts w:eastAsia="仿宋_GB2312"/>
          <w:sz w:val="32"/>
          <w:szCs w:val="32"/>
        </w:rPr>
        <w:t>5. 按照技术核查组要求配合现场核查工作，提供必要的工作条件。</w:t>
      </w:r>
    </w:p>
    <w:p>
      <w:pPr>
        <w:spacing w:line="590" w:lineRule="exact"/>
        <w:ind w:firstLine="640" w:firstLineChars="200"/>
        <w:rPr>
          <w:rFonts w:eastAsia="仿宋_GB2312"/>
          <w:sz w:val="32"/>
          <w:szCs w:val="32"/>
        </w:rPr>
      </w:pPr>
      <w:r>
        <w:rPr>
          <w:rFonts w:eastAsia="仿宋_GB2312"/>
          <w:sz w:val="32"/>
          <w:szCs w:val="32"/>
        </w:rPr>
        <w:t>（三）技术核查人员应遵守以下要求：</w:t>
      </w:r>
    </w:p>
    <w:p>
      <w:pPr>
        <w:spacing w:line="590" w:lineRule="exact"/>
        <w:ind w:firstLine="640" w:firstLineChars="200"/>
        <w:rPr>
          <w:rFonts w:eastAsia="仿宋_GB2312"/>
          <w:sz w:val="32"/>
          <w:szCs w:val="32"/>
        </w:rPr>
      </w:pPr>
      <w:r>
        <w:rPr>
          <w:rFonts w:eastAsia="仿宋_GB2312"/>
          <w:sz w:val="32"/>
          <w:szCs w:val="32"/>
        </w:rPr>
        <w:t>1. 严格遵守各项廉政规定，做到廉洁自律。</w:t>
      </w:r>
    </w:p>
    <w:p>
      <w:pPr>
        <w:spacing w:line="590" w:lineRule="exact"/>
        <w:ind w:firstLine="640" w:firstLineChars="200"/>
        <w:rPr>
          <w:rFonts w:eastAsia="仿宋_GB2312"/>
          <w:sz w:val="32"/>
          <w:szCs w:val="32"/>
        </w:rPr>
      </w:pPr>
      <w:r>
        <w:rPr>
          <w:rFonts w:eastAsia="仿宋_GB2312"/>
          <w:sz w:val="32"/>
          <w:szCs w:val="32"/>
        </w:rPr>
        <w:t>2. 严格按照相关法规、标准和规范进行核查，做到客观、公平、公正。</w:t>
      </w:r>
    </w:p>
    <w:p>
      <w:pPr>
        <w:spacing w:line="590" w:lineRule="exact"/>
        <w:ind w:firstLine="640" w:firstLineChars="200"/>
        <w:rPr>
          <w:rFonts w:eastAsia="仿宋_GB2312"/>
          <w:sz w:val="32"/>
          <w:szCs w:val="32"/>
        </w:rPr>
      </w:pPr>
      <w:r>
        <w:rPr>
          <w:rFonts w:eastAsia="仿宋_GB2312"/>
          <w:sz w:val="32"/>
          <w:szCs w:val="32"/>
        </w:rPr>
        <w:t>3. 为检验机构做好相关指导服务工作。</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r>
        <w:rPr>
          <w:rFonts w:eastAsia="仿宋_GB2312"/>
          <w:sz w:val="32"/>
          <w:szCs w:val="32"/>
        </w:rPr>
        <w:t>附录：广州市机动车排气检验机构联网技术核查表</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rPr>
          <w:rFonts w:eastAsia="黑体"/>
          <w:sz w:val="32"/>
          <w:szCs w:val="32"/>
        </w:rPr>
      </w:pPr>
      <w:r>
        <w:rPr>
          <w:rFonts w:eastAsia="黑体"/>
          <w:sz w:val="32"/>
          <w:szCs w:val="32"/>
        </w:rPr>
        <w:t>附录</w:t>
      </w:r>
    </w:p>
    <w:p>
      <w:pPr>
        <w:spacing w:line="590" w:lineRule="exact"/>
        <w:ind w:firstLine="640" w:firstLineChars="200"/>
        <w:rPr>
          <w:rFonts w:eastAsia="仿宋_GB2312"/>
          <w:sz w:val="32"/>
          <w:szCs w:val="32"/>
        </w:rPr>
      </w:pPr>
    </w:p>
    <w:p>
      <w:pPr>
        <w:spacing w:line="590" w:lineRule="exact"/>
        <w:jc w:val="center"/>
        <w:rPr>
          <w:rFonts w:eastAsia="方正小标宋简体"/>
          <w:sz w:val="44"/>
          <w:szCs w:val="44"/>
        </w:rPr>
      </w:pPr>
      <w:r>
        <w:rPr>
          <w:rFonts w:eastAsia="方正小标宋简体"/>
          <w:sz w:val="44"/>
          <w:szCs w:val="44"/>
        </w:rPr>
        <w:t>广州市机动车排气检验机构联网</w:t>
      </w:r>
    </w:p>
    <w:p>
      <w:pPr>
        <w:spacing w:line="590" w:lineRule="exact"/>
        <w:jc w:val="center"/>
        <w:rPr>
          <w:rFonts w:eastAsia="方正小标宋简体"/>
          <w:sz w:val="44"/>
          <w:szCs w:val="44"/>
        </w:rPr>
      </w:pPr>
      <w:r>
        <w:rPr>
          <w:rFonts w:eastAsia="方正小标宋简体"/>
          <w:sz w:val="44"/>
          <w:szCs w:val="44"/>
        </w:rPr>
        <w:t>技术核查表</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rPr>
          <w:rFonts w:eastAsia="仿宋_GB2312"/>
          <w:sz w:val="32"/>
          <w:szCs w:val="32"/>
        </w:rPr>
      </w:pPr>
    </w:p>
    <w:p>
      <w:pPr>
        <w:spacing w:line="590" w:lineRule="exact"/>
        <w:ind w:firstLine="640" w:firstLineChars="200"/>
        <w:rPr>
          <w:rFonts w:eastAsia="黑体"/>
          <w:sz w:val="32"/>
          <w:szCs w:val="32"/>
        </w:rPr>
      </w:pPr>
      <w:r>
        <w:rPr>
          <w:rFonts w:eastAsia="黑体"/>
          <w:sz w:val="32"/>
          <w:szCs w:val="32"/>
        </w:rPr>
        <w:t>申  请  单  位：</w:t>
      </w:r>
    </w:p>
    <w:p>
      <w:pPr>
        <w:spacing w:line="590" w:lineRule="exact"/>
        <w:ind w:firstLine="640" w:firstLineChars="200"/>
        <w:rPr>
          <w:rFonts w:eastAsia="仿宋_GB2312"/>
          <w:sz w:val="32"/>
          <w:szCs w:val="32"/>
        </w:rPr>
      </w:pPr>
    </w:p>
    <w:p>
      <w:pPr>
        <w:spacing w:line="590" w:lineRule="exact"/>
        <w:ind w:firstLine="640" w:firstLineChars="200"/>
        <w:rPr>
          <w:rFonts w:eastAsia="黑体"/>
          <w:sz w:val="32"/>
          <w:szCs w:val="32"/>
        </w:rPr>
      </w:pPr>
      <w:r>
        <w:rPr>
          <w:rFonts w:eastAsia="黑体"/>
          <w:sz w:val="32"/>
          <w:szCs w:val="32"/>
        </w:rPr>
        <w:t>核  查  类  别：</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r>
        <w:rPr>
          <w:rFonts w:eastAsia="黑体"/>
          <w:sz w:val="32"/>
          <w:szCs w:val="32"/>
        </w:rPr>
        <w:t>核  查  日  期：</w:t>
      </w:r>
      <w:r>
        <w:rPr>
          <w:rFonts w:eastAsia="仿宋_GB2312"/>
          <w:sz w:val="32"/>
          <w:szCs w:val="32"/>
        </w:rPr>
        <w:t xml:space="preserve">    年    月    日</w:t>
      </w:r>
    </w:p>
    <w:p>
      <w:pPr>
        <w:spacing w:line="590" w:lineRule="exact"/>
        <w:jc w:val="center"/>
        <w:rPr>
          <w:rFonts w:eastAsia="方正小标宋简体"/>
          <w:sz w:val="44"/>
          <w:szCs w:val="44"/>
        </w:rPr>
      </w:pPr>
    </w:p>
    <w:p>
      <w:pPr>
        <w:spacing w:line="590" w:lineRule="exact"/>
        <w:jc w:val="center"/>
        <w:rPr>
          <w:rFonts w:eastAsia="黑体"/>
          <w:sz w:val="32"/>
          <w:szCs w:val="32"/>
        </w:rPr>
      </w:pPr>
    </w:p>
    <w:p>
      <w:pPr>
        <w:spacing w:line="590" w:lineRule="exact"/>
        <w:jc w:val="center"/>
        <w:rPr>
          <w:rFonts w:eastAsia="黑体"/>
          <w:sz w:val="32"/>
          <w:szCs w:val="32"/>
        </w:rPr>
      </w:pPr>
      <w:r>
        <w:rPr>
          <w:rFonts w:eastAsia="黑体"/>
          <w:sz w:val="32"/>
          <w:szCs w:val="32"/>
        </w:rPr>
        <w:t>填表说明</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r>
        <w:rPr>
          <w:rFonts w:eastAsia="仿宋_GB2312"/>
          <w:sz w:val="32"/>
          <w:szCs w:val="32"/>
        </w:rPr>
        <w:t>1. “核查类别”填写首次核查、第1次复核、第2次复核，以此类推。</w:t>
      </w:r>
    </w:p>
    <w:p>
      <w:pPr>
        <w:spacing w:line="590" w:lineRule="exact"/>
        <w:ind w:firstLine="640" w:firstLineChars="200"/>
        <w:rPr>
          <w:rFonts w:eastAsia="仿宋_GB2312"/>
          <w:sz w:val="32"/>
          <w:szCs w:val="32"/>
        </w:rPr>
      </w:pPr>
      <w:r>
        <w:rPr>
          <w:rFonts w:eastAsia="仿宋_GB2312"/>
          <w:sz w:val="32"/>
          <w:szCs w:val="32"/>
        </w:rPr>
        <w:t>2. “单位性质”填写安检或综检，“联系人”一般为检验机构行政负责人，如站长等。</w:t>
      </w:r>
    </w:p>
    <w:p>
      <w:pPr>
        <w:spacing w:line="590" w:lineRule="exact"/>
        <w:ind w:firstLine="640" w:firstLineChars="200"/>
        <w:rPr>
          <w:rFonts w:eastAsia="仿宋_GB2312"/>
          <w:sz w:val="32"/>
          <w:szCs w:val="32"/>
        </w:rPr>
      </w:pPr>
      <w:r>
        <w:rPr>
          <w:rFonts w:eastAsia="仿宋_GB2312"/>
          <w:sz w:val="32"/>
          <w:szCs w:val="32"/>
        </w:rPr>
        <w:t>3. “主要设备基本信息”同类设备同品牌型号只需填写一类设备和数量，不需重复填写，不够填写时可以附页。</w:t>
      </w:r>
    </w:p>
    <w:p>
      <w:pPr>
        <w:spacing w:line="590" w:lineRule="exact"/>
        <w:ind w:firstLine="640" w:firstLineChars="200"/>
        <w:rPr>
          <w:rFonts w:eastAsia="仿宋_GB2312"/>
          <w:sz w:val="32"/>
          <w:szCs w:val="32"/>
        </w:rPr>
      </w:pPr>
      <w:r>
        <w:rPr>
          <w:rFonts w:eastAsia="仿宋_GB2312"/>
          <w:sz w:val="32"/>
          <w:szCs w:val="32"/>
        </w:rPr>
        <w:t>4. “业务范围”根据检验机构办理联网（变更）项目在检测方法右边的选框中打“√”或“×”。</w:t>
      </w:r>
    </w:p>
    <w:p>
      <w:pPr>
        <w:spacing w:line="590" w:lineRule="exact"/>
        <w:ind w:firstLine="640" w:firstLineChars="200"/>
        <w:rPr>
          <w:rFonts w:eastAsia="仿宋_GB2312"/>
          <w:sz w:val="32"/>
          <w:szCs w:val="32"/>
        </w:rPr>
      </w:pPr>
      <w:r>
        <w:rPr>
          <w:rFonts w:eastAsia="仿宋_GB2312"/>
          <w:sz w:val="32"/>
          <w:szCs w:val="32"/>
        </w:rPr>
        <w:t>5. 附表2中带“*”项为必查项目。</w:t>
      </w:r>
    </w:p>
    <w:p>
      <w:pPr>
        <w:spacing w:line="590" w:lineRule="exact"/>
        <w:ind w:firstLine="640" w:firstLineChars="200"/>
        <w:rPr>
          <w:rFonts w:eastAsia="仿宋_GB2312"/>
          <w:sz w:val="32"/>
          <w:szCs w:val="32"/>
        </w:rPr>
      </w:pPr>
      <w:r>
        <w:rPr>
          <w:rFonts w:eastAsia="仿宋_GB2312"/>
          <w:sz w:val="32"/>
          <w:szCs w:val="32"/>
        </w:rPr>
        <w:t>6. 记录时在相应选框中打“√”，并在备注栏注明具体情况，未检查项目在备注栏用斜杠划去。</w:t>
      </w:r>
    </w:p>
    <w:p>
      <w:pPr>
        <w:spacing w:line="590" w:lineRule="exact"/>
        <w:ind w:firstLine="640" w:firstLineChars="200"/>
        <w:rPr>
          <w:rFonts w:eastAsia="仿宋_GB2312"/>
          <w:sz w:val="32"/>
          <w:szCs w:val="32"/>
        </w:rPr>
      </w:pPr>
      <w:r>
        <w:rPr>
          <w:rFonts w:eastAsia="仿宋_GB2312"/>
          <w:sz w:val="32"/>
          <w:szCs w:val="32"/>
        </w:rPr>
        <w:t>7. 复核时仅对不符合项进行复核，记录时，附表1和附表2中复核前已符合的项目，在备注栏注明“复核前已符合”。</w:t>
      </w:r>
    </w:p>
    <w:p>
      <w:pPr>
        <w:spacing w:line="590" w:lineRule="exact"/>
        <w:ind w:firstLine="640" w:firstLineChars="200"/>
        <w:rPr>
          <w:rFonts w:eastAsia="仿宋_GB2312"/>
          <w:sz w:val="32"/>
          <w:szCs w:val="32"/>
        </w:rPr>
      </w:pPr>
      <w:r>
        <w:rPr>
          <w:rFonts w:eastAsia="仿宋_GB2312"/>
          <w:sz w:val="32"/>
          <w:szCs w:val="32"/>
        </w:rPr>
        <w:t>8. 本表在现场核查时填写，完成技术核查工作后由市环境监测中心站存档。</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p>
    <w:p>
      <w:pPr>
        <w:spacing w:line="590" w:lineRule="exact"/>
        <w:rPr>
          <w:rFonts w:eastAsia="仿宋_GB2312"/>
          <w:sz w:val="32"/>
          <w:szCs w:val="32"/>
        </w:rPr>
      </w:pPr>
      <w:r>
        <w:rPr>
          <w:rFonts w:eastAsia="黑体"/>
          <w:sz w:val="32"/>
          <w:szCs w:val="32"/>
        </w:rPr>
        <w:t>一、基本信息</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24"/>
        <w:gridCol w:w="11"/>
        <w:gridCol w:w="1026"/>
        <w:gridCol w:w="234"/>
        <w:gridCol w:w="1281"/>
        <w:gridCol w:w="850"/>
        <w:gridCol w:w="938"/>
        <w:gridCol w:w="383"/>
        <w:gridCol w:w="97"/>
        <w:gridCol w:w="992"/>
        <w:gridCol w:w="16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520" w:type="dxa"/>
            <w:gridSpan w:val="12"/>
            <w:tcBorders>
              <w:top w:val="single" w:color="auto" w:sz="8" w:space="0"/>
              <w:left w:val="single" w:color="auto" w:sz="8"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检验机构基本信息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单位名称</w:t>
            </w:r>
          </w:p>
        </w:tc>
        <w:tc>
          <w:tcPr>
            <w:tcW w:w="7479" w:type="dxa"/>
            <w:gridSpan w:val="10"/>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单位地址</w:t>
            </w:r>
          </w:p>
        </w:tc>
        <w:tc>
          <w:tcPr>
            <w:tcW w:w="7479" w:type="dxa"/>
            <w:gridSpan w:val="10"/>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邮政编码</w:t>
            </w:r>
          </w:p>
        </w:tc>
        <w:tc>
          <w:tcPr>
            <w:tcW w:w="25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注册号</w:t>
            </w:r>
          </w:p>
        </w:tc>
        <w:tc>
          <w:tcPr>
            <w:tcW w:w="2659" w:type="dxa"/>
            <w:gridSpan w:val="2"/>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单位性质</w:t>
            </w:r>
          </w:p>
        </w:tc>
        <w:tc>
          <w:tcPr>
            <w:tcW w:w="25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经济类型</w:t>
            </w:r>
          </w:p>
        </w:tc>
        <w:tc>
          <w:tcPr>
            <w:tcW w:w="2659" w:type="dxa"/>
            <w:gridSpan w:val="2"/>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法定代表人</w:t>
            </w:r>
          </w:p>
        </w:tc>
        <w:tc>
          <w:tcPr>
            <w:tcW w:w="25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成立时间</w:t>
            </w:r>
          </w:p>
        </w:tc>
        <w:tc>
          <w:tcPr>
            <w:tcW w:w="2659" w:type="dxa"/>
            <w:gridSpan w:val="2"/>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41" w:type="dxa"/>
            <w:gridSpan w:val="2"/>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联系人</w:t>
            </w:r>
          </w:p>
        </w:tc>
        <w:tc>
          <w:tcPr>
            <w:tcW w:w="25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268"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联系人电话</w:t>
            </w:r>
          </w:p>
        </w:tc>
        <w:tc>
          <w:tcPr>
            <w:tcW w:w="2659" w:type="dxa"/>
            <w:gridSpan w:val="2"/>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520" w:type="dxa"/>
            <w:gridSpan w:val="12"/>
            <w:tcBorders>
              <w:top w:val="single" w:color="auto" w:sz="4" w:space="0"/>
              <w:left w:val="single" w:color="auto" w:sz="8"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主要设备基本信息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2" w:type="dxa"/>
            <w:gridSpan w:val="5"/>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设备名称</w:t>
            </w: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型号规格</w:t>
            </w: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设备供应商名称</w:t>
            </w: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数量（套）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2" w:type="dxa"/>
            <w:gridSpan w:val="5"/>
            <w:vMerge w:val="restart"/>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sz w:val="24"/>
              </w:rPr>
            </w:pPr>
            <w:r>
              <w:rPr>
                <w:sz w:val="24"/>
              </w:rPr>
              <w:t>简易瞬态工况法</w:t>
            </w:r>
          </w:p>
          <w:p>
            <w:pPr>
              <w:adjustRightInd w:val="0"/>
              <w:snapToGrid w:val="0"/>
              <w:spacing w:line="430" w:lineRule="exact"/>
              <w:jc w:val="center"/>
              <w:rPr>
                <w:sz w:val="24"/>
              </w:rPr>
            </w:pPr>
            <w:r>
              <w:rPr>
                <w:sz w:val="24"/>
              </w:rPr>
              <w:t>（含双怠速法）设备</w:t>
            </w: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312" w:type="dxa"/>
            <w:gridSpan w:val="5"/>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24"/>
              </w:rPr>
            </w:pP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52" w:type="dxa"/>
            <w:gridSpan w:val="3"/>
            <w:vMerge w:val="restart"/>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rPr>
                <w:sz w:val="24"/>
              </w:rPr>
            </w:pPr>
            <w:r>
              <w:rPr>
                <w:sz w:val="24"/>
              </w:rPr>
              <w:t>加载减速工况法（含自由加速法）设备</w:t>
            </w:r>
          </w:p>
        </w:tc>
        <w:tc>
          <w:tcPr>
            <w:tcW w:w="1260"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r>
              <w:rPr>
                <w:sz w:val="24"/>
              </w:rPr>
              <w:t>轻型汽车</w:t>
            </w: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52"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24"/>
              </w:rPr>
            </w:pPr>
          </w:p>
        </w:tc>
        <w:tc>
          <w:tcPr>
            <w:tcW w:w="12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52"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24"/>
              </w:rPr>
            </w:pPr>
          </w:p>
        </w:tc>
        <w:tc>
          <w:tcPr>
            <w:tcW w:w="1260" w:type="dxa"/>
            <w:gridSpan w:val="2"/>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r>
              <w:rPr>
                <w:sz w:val="24"/>
              </w:rPr>
              <w:t>重型汽车</w:t>
            </w: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2052"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sz w:val="24"/>
              </w:rPr>
            </w:pPr>
          </w:p>
        </w:tc>
        <w:tc>
          <w:tcPr>
            <w:tcW w:w="12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2131"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2410"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1667"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520" w:type="dxa"/>
            <w:gridSpan w:val="12"/>
            <w:tcBorders>
              <w:top w:val="single" w:color="auto" w:sz="4" w:space="0"/>
              <w:left w:val="single" w:color="auto" w:sz="8"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业务范围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序号</w:t>
            </w:r>
          </w:p>
        </w:tc>
        <w:tc>
          <w:tcPr>
            <w:tcW w:w="2495"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类别</w:t>
            </w:r>
          </w:p>
        </w:tc>
        <w:tc>
          <w:tcPr>
            <w:tcW w:w="34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检测方法</w:t>
            </w:r>
          </w:p>
        </w:tc>
        <w:tc>
          <w:tcPr>
            <w:tcW w:w="2756" w:type="dxa"/>
            <w:gridSpan w:val="3"/>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执行标准编号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sz w:val="24"/>
              </w:rPr>
            </w:pPr>
            <w:r>
              <w:rPr>
                <w:sz w:val="24"/>
              </w:rPr>
              <w:t>1</w:t>
            </w:r>
          </w:p>
        </w:tc>
        <w:tc>
          <w:tcPr>
            <w:tcW w:w="2495"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r>
              <w:rPr>
                <w:sz w:val="24"/>
              </w:rPr>
              <w:t>汽油车</w:t>
            </w:r>
          </w:p>
        </w:tc>
        <w:tc>
          <w:tcPr>
            <w:tcW w:w="34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ind w:left="218" w:leftChars="104"/>
              <w:rPr>
                <w:sz w:val="24"/>
              </w:rPr>
            </w:pPr>
            <w:r>
              <w:rPr>
                <w:bCs/>
                <w:sz w:val="24"/>
              </w:rPr>
              <w:t>□</w:t>
            </w:r>
            <w:r>
              <w:rPr>
                <w:sz w:val="24"/>
              </w:rPr>
              <w:t>简易瞬态工况法</w:t>
            </w:r>
          </w:p>
          <w:p>
            <w:pPr>
              <w:adjustRightInd w:val="0"/>
              <w:snapToGrid w:val="0"/>
              <w:spacing w:line="430" w:lineRule="exact"/>
              <w:ind w:left="218" w:leftChars="104"/>
              <w:rPr>
                <w:sz w:val="24"/>
              </w:rPr>
            </w:pPr>
            <w:r>
              <w:rPr>
                <w:bCs/>
                <w:sz w:val="24"/>
              </w:rPr>
              <w:t>□</w:t>
            </w:r>
            <w:r>
              <w:rPr>
                <w:sz w:val="24"/>
              </w:rPr>
              <w:t>双怠速法</w:t>
            </w:r>
          </w:p>
        </w:tc>
        <w:tc>
          <w:tcPr>
            <w:tcW w:w="2756" w:type="dxa"/>
            <w:gridSpan w:val="3"/>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ind w:left="218" w:leftChars="104"/>
              <w:rPr>
                <w:sz w:val="24"/>
              </w:rPr>
            </w:pPr>
            <w:r>
              <w:rPr>
                <w:sz w:val="24"/>
              </w:rPr>
              <w:t>国标：GB18285-2018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817"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sz w:val="24"/>
              </w:rPr>
            </w:pPr>
            <w:r>
              <w:rPr>
                <w:sz w:val="24"/>
              </w:rPr>
              <w:t>2</w:t>
            </w:r>
          </w:p>
        </w:tc>
        <w:tc>
          <w:tcPr>
            <w:tcW w:w="2495"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r>
              <w:rPr>
                <w:sz w:val="24"/>
              </w:rPr>
              <w:t>柴油车</w:t>
            </w:r>
          </w:p>
        </w:tc>
        <w:tc>
          <w:tcPr>
            <w:tcW w:w="3452"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ind w:left="143" w:leftChars="68" w:firstLine="120" w:firstLineChars="50"/>
              <w:rPr>
                <w:sz w:val="24"/>
              </w:rPr>
            </w:pPr>
            <w:r>
              <w:rPr>
                <w:bCs/>
                <w:sz w:val="24"/>
              </w:rPr>
              <w:t>□</w:t>
            </w:r>
            <w:r>
              <w:rPr>
                <w:sz w:val="24"/>
              </w:rPr>
              <w:t>加载减速工况法</w:t>
            </w:r>
          </w:p>
          <w:p>
            <w:pPr>
              <w:adjustRightInd w:val="0"/>
              <w:snapToGrid w:val="0"/>
              <w:spacing w:line="430" w:lineRule="exact"/>
              <w:ind w:left="218" w:leftChars="104"/>
              <w:rPr>
                <w:sz w:val="24"/>
              </w:rPr>
            </w:pPr>
            <w:r>
              <w:rPr>
                <w:bCs/>
                <w:sz w:val="24"/>
              </w:rPr>
              <w:t>□</w:t>
            </w:r>
            <w:r>
              <w:rPr>
                <w:sz w:val="24"/>
              </w:rPr>
              <w:t>自由加速法</w:t>
            </w:r>
          </w:p>
        </w:tc>
        <w:tc>
          <w:tcPr>
            <w:tcW w:w="2756" w:type="dxa"/>
            <w:gridSpan w:val="3"/>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ind w:left="218" w:leftChars="104"/>
              <w:rPr>
                <w:sz w:val="24"/>
              </w:rPr>
            </w:pPr>
            <w:r>
              <w:rPr>
                <w:sz w:val="24"/>
              </w:rPr>
              <w:t>国标：GB3847-2018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9520" w:type="dxa"/>
            <w:gridSpan w:val="12"/>
            <w:tcBorders>
              <w:top w:val="single" w:color="auto" w:sz="4" w:space="0"/>
              <w:left w:val="single" w:color="auto" w:sz="8"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拟变更内容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78" w:type="dxa"/>
            <w:gridSpan w:val="4"/>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变更类型</w:t>
            </w:r>
          </w:p>
        </w:tc>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rFonts w:eastAsia="黑体"/>
                <w:sz w:val="24"/>
              </w:rPr>
            </w:pPr>
            <w:r>
              <w:rPr>
                <w:rFonts w:eastAsia="黑体"/>
                <w:sz w:val="24"/>
              </w:rPr>
              <w:t>变更前</w:t>
            </w:r>
          </w:p>
        </w:tc>
        <w:tc>
          <w:tcPr>
            <w:tcW w:w="3139" w:type="dxa"/>
            <w:gridSpan w:val="4"/>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rFonts w:eastAsia="黑体"/>
                <w:sz w:val="24"/>
              </w:rPr>
            </w:pPr>
            <w:r>
              <w:rPr>
                <w:rFonts w:eastAsia="黑体"/>
                <w:sz w:val="24"/>
              </w:rPr>
              <w:t>变更后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78" w:type="dxa"/>
            <w:gridSpan w:val="4"/>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ind w:left="109" w:leftChars="52"/>
              <w:rPr>
                <w:sz w:val="24"/>
              </w:rPr>
            </w:pPr>
            <w:r>
              <w:rPr>
                <w:bCs/>
                <w:sz w:val="24"/>
              </w:rPr>
              <w:t>□</w:t>
            </w:r>
            <w:r>
              <w:rPr>
                <w:sz w:val="24"/>
              </w:rPr>
              <w:t>检测线位置变更</w:t>
            </w:r>
          </w:p>
        </w:tc>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3139" w:type="dxa"/>
            <w:gridSpan w:val="4"/>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78" w:type="dxa"/>
            <w:gridSpan w:val="4"/>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ind w:left="109" w:leftChars="52"/>
              <w:rPr>
                <w:sz w:val="24"/>
              </w:rPr>
            </w:pPr>
            <w:r>
              <w:rPr>
                <w:bCs/>
                <w:sz w:val="24"/>
              </w:rPr>
              <w:t>□</w:t>
            </w:r>
            <w:r>
              <w:rPr>
                <w:sz w:val="24"/>
              </w:rPr>
              <w:t>增加检测线</w:t>
            </w:r>
          </w:p>
        </w:tc>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3139" w:type="dxa"/>
            <w:gridSpan w:val="4"/>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78" w:type="dxa"/>
            <w:gridSpan w:val="4"/>
            <w:tcBorders>
              <w:top w:val="single" w:color="auto" w:sz="4" w:space="0"/>
              <w:left w:val="single" w:color="auto" w:sz="8" w:space="0"/>
              <w:bottom w:val="single" w:color="auto" w:sz="4" w:space="0"/>
              <w:right w:val="single" w:color="auto" w:sz="4" w:space="0"/>
            </w:tcBorders>
            <w:vAlign w:val="center"/>
          </w:tcPr>
          <w:p>
            <w:pPr>
              <w:adjustRightInd w:val="0"/>
              <w:snapToGrid w:val="0"/>
              <w:spacing w:line="430" w:lineRule="exact"/>
              <w:ind w:left="109" w:leftChars="52"/>
              <w:rPr>
                <w:sz w:val="24"/>
              </w:rPr>
            </w:pPr>
            <w:r>
              <w:rPr>
                <w:bCs/>
                <w:sz w:val="24"/>
              </w:rPr>
              <w:t>□变更</w:t>
            </w:r>
            <w:r>
              <w:rPr>
                <w:sz w:val="24"/>
              </w:rPr>
              <w:t>检测线类型</w:t>
            </w:r>
          </w:p>
        </w:tc>
        <w:tc>
          <w:tcPr>
            <w:tcW w:w="3303" w:type="dxa"/>
            <w:gridSpan w:val="4"/>
            <w:tcBorders>
              <w:top w:val="single" w:color="auto" w:sz="4" w:space="0"/>
              <w:left w:val="single" w:color="auto" w:sz="4" w:space="0"/>
              <w:bottom w:val="single" w:color="auto" w:sz="4" w:space="0"/>
              <w:right w:val="single" w:color="auto" w:sz="4" w:space="0"/>
            </w:tcBorders>
            <w:vAlign w:val="center"/>
          </w:tcPr>
          <w:p>
            <w:pPr>
              <w:adjustRightInd w:val="0"/>
              <w:snapToGrid w:val="0"/>
              <w:spacing w:line="430" w:lineRule="exact"/>
              <w:jc w:val="center"/>
              <w:rPr>
                <w:sz w:val="24"/>
              </w:rPr>
            </w:pPr>
          </w:p>
        </w:tc>
        <w:tc>
          <w:tcPr>
            <w:tcW w:w="3139" w:type="dxa"/>
            <w:gridSpan w:val="4"/>
            <w:tcBorders>
              <w:top w:val="single" w:color="auto" w:sz="4" w:space="0"/>
              <w:left w:val="single" w:color="auto" w:sz="4" w:space="0"/>
              <w:bottom w:val="single" w:color="auto" w:sz="4" w:space="0"/>
              <w:right w:val="single" w:color="auto" w:sz="8" w:space="0"/>
            </w:tcBorders>
            <w:vAlign w:val="center"/>
          </w:tcPr>
          <w:p>
            <w:pPr>
              <w:adjustRightInd w:val="0"/>
              <w:snapToGrid w:val="0"/>
              <w:spacing w:line="430" w:lineRule="exact"/>
              <w:jc w:val="center"/>
              <w:rPr>
                <w:sz w:val="24"/>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3078" w:type="dxa"/>
            <w:gridSpan w:val="4"/>
            <w:tcBorders>
              <w:top w:val="single" w:color="auto" w:sz="4" w:space="0"/>
              <w:left w:val="single" w:color="auto" w:sz="8" w:space="0"/>
              <w:bottom w:val="single" w:color="auto" w:sz="8" w:space="0"/>
              <w:right w:val="single" w:color="auto" w:sz="4" w:space="0"/>
            </w:tcBorders>
            <w:vAlign w:val="center"/>
          </w:tcPr>
          <w:p>
            <w:pPr>
              <w:adjustRightInd w:val="0"/>
              <w:snapToGrid w:val="0"/>
              <w:spacing w:line="430" w:lineRule="exact"/>
              <w:ind w:left="109" w:leftChars="52"/>
              <w:rPr>
                <w:sz w:val="24"/>
              </w:rPr>
            </w:pPr>
            <w:r>
              <w:rPr>
                <w:bCs/>
                <w:sz w:val="24"/>
              </w:rPr>
              <w:t>□变更</w:t>
            </w:r>
            <w:r>
              <w:rPr>
                <w:sz w:val="24"/>
              </w:rPr>
              <w:t>主要检测设备（含工控软件）</w:t>
            </w:r>
          </w:p>
        </w:tc>
        <w:tc>
          <w:tcPr>
            <w:tcW w:w="3303" w:type="dxa"/>
            <w:gridSpan w:val="4"/>
            <w:tcBorders>
              <w:top w:val="single" w:color="auto" w:sz="4" w:space="0"/>
              <w:left w:val="single" w:color="auto" w:sz="4" w:space="0"/>
              <w:bottom w:val="single" w:color="auto" w:sz="8" w:space="0"/>
              <w:right w:val="single" w:color="auto" w:sz="4" w:space="0"/>
            </w:tcBorders>
            <w:vAlign w:val="center"/>
          </w:tcPr>
          <w:p>
            <w:pPr>
              <w:adjustRightInd w:val="0"/>
              <w:snapToGrid w:val="0"/>
              <w:spacing w:line="430" w:lineRule="exact"/>
              <w:jc w:val="center"/>
              <w:rPr>
                <w:sz w:val="24"/>
              </w:rPr>
            </w:pPr>
          </w:p>
        </w:tc>
        <w:tc>
          <w:tcPr>
            <w:tcW w:w="3139" w:type="dxa"/>
            <w:gridSpan w:val="4"/>
            <w:tcBorders>
              <w:top w:val="single" w:color="auto" w:sz="4" w:space="0"/>
              <w:left w:val="single" w:color="auto" w:sz="4" w:space="0"/>
              <w:bottom w:val="single" w:color="auto" w:sz="8" w:space="0"/>
              <w:right w:val="single" w:color="auto" w:sz="8" w:space="0"/>
            </w:tcBorders>
            <w:vAlign w:val="center"/>
          </w:tcPr>
          <w:p>
            <w:pPr>
              <w:adjustRightInd w:val="0"/>
              <w:snapToGrid w:val="0"/>
              <w:spacing w:line="430" w:lineRule="exact"/>
              <w:jc w:val="center"/>
              <w:rPr>
                <w:sz w:val="24"/>
              </w:rPr>
            </w:pPr>
          </w:p>
        </w:tc>
      </w:tr>
    </w:tbl>
    <w:p>
      <w:pPr>
        <w:spacing w:line="590" w:lineRule="exact"/>
        <w:rPr>
          <w:rFonts w:eastAsia="黑体"/>
          <w:sz w:val="32"/>
          <w:szCs w:val="32"/>
        </w:rPr>
      </w:pPr>
      <w:r>
        <w:rPr>
          <w:rFonts w:eastAsia="黑体"/>
          <w:sz w:val="32"/>
          <w:szCs w:val="32"/>
        </w:rPr>
        <w:t>二、技术核查结果</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6"/>
        <w:gridCol w:w="7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8978" w:type="dxa"/>
            <w:gridSpan w:val="2"/>
            <w:tcBorders>
              <w:top w:val="single" w:color="auto" w:sz="8" w:space="0"/>
              <w:left w:val="single" w:color="auto" w:sz="8" w:space="0"/>
              <w:bottom w:val="single" w:color="auto" w:sz="4" w:space="0"/>
              <w:right w:val="single" w:color="auto" w:sz="8" w:space="0"/>
            </w:tcBorders>
            <w:vAlign w:val="center"/>
          </w:tcPr>
          <w:p>
            <w:pPr>
              <w:spacing w:line="420" w:lineRule="exact"/>
              <w:jc w:val="center"/>
              <w:rPr>
                <w:rFonts w:eastAsia="黑体"/>
                <w:bCs/>
                <w:sz w:val="24"/>
              </w:rPr>
            </w:pPr>
            <w:r>
              <w:rPr>
                <w:rFonts w:eastAsia="黑体"/>
                <w:bCs/>
                <w:sz w:val="24"/>
              </w:rPr>
              <w:t>核查内容（详见附表1、2、3）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86" w:type="dxa"/>
            <w:tcBorders>
              <w:top w:val="single" w:color="auto" w:sz="4" w:space="0"/>
              <w:left w:val="single" w:color="auto" w:sz="8"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资质核查</w:t>
            </w:r>
          </w:p>
        </w:tc>
        <w:tc>
          <w:tcPr>
            <w:tcW w:w="7692"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exact"/>
              <w:rPr>
                <w:sz w:val="24"/>
              </w:rPr>
            </w:pPr>
            <w:r>
              <w:rPr>
                <w:spacing w:val="-6"/>
                <w:sz w:val="24"/>
              </w:rPr>
              <w:t>相关资质（附表1）：</w:t>
            </w:r>
            <w:r>
              <w:rPr>
                <w:bCs/>
                <w:sz w:val="24"/>
              </w:rPr>
              <w:t>□</w:t>
            </w:r>
            <w:r>
              <w:rPr>
                <w:spacing w:val="-6"/>
                <w:sz w:val="24"/>
              </w:rPr>
              <w:t>齐全</w:t>
            </w:r>
            <w:r>
              <w:rPr>
                <w:bCs/>
                <w:sz w:val="24"/>
              </w:rPr>
              <w:t>□</w:t>
            </w:r>
            <w:r>
              <w:rPr>
                <w:sz w:val="24"/>
              </w:rPr>
              <w:t>不齐全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86" w:type="dxa"/>
            <w:vMerge w:val="restart"/>
            <w:tcBorders>
              <w:top w:val="single" w:color="auto" w:sz="4" w:space="0"/>
              <w:left w:val="single" w:color="auto" w:sz="8"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检测</w:t>
            </w:r>
          </w:p>
          <w:p>
            <w:pPr>
              <w:spacing w:line="420" w:lineRule="exact"/>
              <w:jc w:val="center"/>
              <w:rPr>
                <w:rFonts w:eastAsia="黑体"/>
                <w:sz w:val="24"/>
              </w:rPr>
            </w:pPr>
            <w:r>
              <w:rPr>
                <w:rFonts w:eastAsia="黑体"/>
                <w:sz w:val="24"/>
              </w:rPr>
              <w:t>能力核查</w:t>
            </w:r>
          </w:p>
        </w:tc>
        <w:tc>
          <w:tcPr>
            <w:tcW w:w="7692" w:type="dxa"/>
            <w:tcBorders>
              <w:top w:val="single" w:color="auto" w:sz="4" w:space="0"/>
              <w:left w:val="single" w:color="auto" w:sz="4" w:space="0"/>
              <w:bottom w:val="single" w:color="000000" w:sz="4" w:space="0"/>
              <w:right w:val="single" w:color="auto" w:sz="8" w:space="0"/>
            </w:tcBorders>
            <w:vAlign w:val="center"/>
          </w:tcPr>
          <w:p>
            <w:pPr>
              <w:adjustRightInd w:val="0"/>
              <w:snapToGrid w:val="0"/>
              <w:spacing w:line="420" w:lineRule="exact"/>
              <w:rPr>
                <w:sz w:val="24"/>
              </w:rPr>
            </w:pPr>
            <w:r>
              <w:rPr>
                <w:sz w:val="24"/>
              </w:rPr>
              <w:t xml:space="preserve">汽油车检测设备检查（附表2之1）: </w:t>
            </w:r>
            <w:r>
              <w:rPr>
                <w:bCs/>
                <w:sz w:val="24"/>
              </w:rPr>
              <w:t>□</w:t>
            </w:r>
            <w:r>
              <w:rPr>
                <w:sz w:val="24"/>
              </w:rPr>
              <w:t>通过</w:t>
            </w:r>
            <w:r>
              <w:rPr>
                <w:bCs/>
                <w:sz w:val="24"/>
              </w:rPr>
              <w:t>□</w:t>
            </w:r>
            <w:r>
              <w:rPr>
                <w:sz w:val="24"/>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86"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eastAsia="黑体"/>
                <w:sz w:val="24"/>
              </w:rPr>
            </w:pPr>
          </w:p>
        </w:tc>
        <w:tc>
          <w:tcPr>
            <w:tcW w:w="7692" w:type="dxa"/>
            <w:tcBorders>
              <w:top w:val="single" w:color="000000" w:sz="4" w:space="0"/>
              <w:left w:val="single" w:color="auto" w:sz="4" w:space="0"/>
              <w:bottom w:val="single" w:color="auto" w:sz="4" w:space="0"/>
              <w:right w:val="single" w:color="auto" w:sz="8" w:space="0"/>
            </w:tcBorders>
            <w:vAlign w:val="center"/>
          </w:tcPr>
          <w:p>
            <w:pPr>
              <w:adjustRightInd w:val="0"/>
              <w:snapToGrid w:val="0"/>
              <w:spacing w:line="420" w:lineRule="exact"/>
              <w:rPr>
                <w:sz w:val="24"/>
              </w:rPr>
            </w:pPr>
            <w:r>
              <w:rPr>
                <w:sz w:val="24"/>
              </w:rPr>
              <w:t>柴油车检测设备检查（附表2之2）:</w:t>
            </w:r>
            <w:r>
              <w:rPr>
                <w:bCs/>
                <w:sz w:val="24"/>
              </w:rPr>
              <w:t>□</w:t>
            </w:r>
            <w:r>
              <w:rPr>
                <w:sz w:val="24"/>
              </w:rPr>
              <w:t>通过</w:t>
            </w:r>
            <w:r>
              <w:rPr>
                <w:bCs/>
                <w:sz w:val="24"/>
              </w:rPr>
              <w:t>□</w:t>
            </w:r>
            <w:r>
              <w:rPr>
                <w:sz w:val="24"/>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86"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eastAsia="黑体"/>
                <w:sz w:val="24"/>
              </w:rPr>
            </w:pPr>
          </w:p>
        </w:tc>
        <w:tc>
          <w:tcPr>
            <w:tcW w:w="7692" w:type="dxa"/>
            <w:tcBorders>
              <w:top w:val="single" w:color="auto" w:sz="4" w:space="0"/>
              <w:left w:val="single" w:color="auto" w:sz="4" w:space="0"/>
              <w:bottom w:val="single" w:color="auto" w:sz="4" w:space="0"/>
              <w:right w:val="single" w:color="auto" w:sz="8" w:space="0"/>
            </w:tcBorders>
            <w:vAlign w:val="center"/>
          </w:tcPr>
          <w:p>
            <w:pPr>
              <w:spacing w:line="420" w:lineRule="exact"/>
              <w:rPr>
                <w:sz w:val="24"/>
              </w:rPr>
            </w:pPr>
            <w:r>
              <w:rPr>
                <w:sz w:val="24"/>
              </w:rPr>
              <w:t xml:space="preserve">检测设备参数检查（附表3）:  </w:t>
            </w:r>
            <w:r>
              <w:rPr>
                <w:bCs/>
                <w:sz w:val="24"/>
              </w:rPr>
              <w:t>□齐全□不齐全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8978" w:type="dxa"/>
            <w:gridSpan w:val="2"/>
            <w:tcBorders>
              <w:top w:val="single" w:color="auto" w:sz="4" w:space="0"/>
              <w:left w:val="single" w:color="auto" w:sz="8" w:space="0"/>
              <w:bottom w:val="single" w:color="auto" w:sz="4" w:space="0"/>
              <w:right w:val="single" w:color="auto" w:sz="8" w:space="0"/>
            </w:tcBorders>
            <w:vAlign w:val="center"/>
          </w:tcPr>
          <w:p>
            <w:pPr>
              <w:spacing w:line="420" w:lineRule="exact"/>
              <w:jc w:val="center"/>
              <w:rPr>
                <w:rFonts w:eastAsia="黑体"/>
                <w:bCs/>
                <w:sz w:val="24"/>
              </w:rPr>
            </w:pPr>
            <w:r>
              <w:rPr>
                <w:rFonts w:eastAsia="黑体"/>
                <w:bCs/>
                <w:sz w:val="24"/>
              </w:rPr>
              <w:t>核查意见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jc w:val="center"/>
        </w:trPr>
        <w:tc>
          <w:tcPr>
            <w:tcW w:w="1286" w:type="dxa"/>
            <w:tcBorders>
              <w:top w:val="single" w:color="auto" w:sz="4" w:space="0"/>
              <w:left w:val="single" w:color="auto" w:sz="8" w:space="0"/>
              <w:bottom w:val="single" w:color="auto" w:sz="4" w:space="0"/>
              <w:right w:val="single" w:color="auto" w:sz="4" w:space="0"/>
            </w:tcBorders>
            <w:vAlign w:val="center"/>
          </w:tcPr>
          <w:p>
            <w:pPr>
              <w:spacing w:line="420" w:lineRule="exact"/>
              <w:jc w:val="center"/>
              <w:rPr>
                <w:rFonts w:eastAsia="黑体"/>
                <w:spacing w:val="-4"/>
                <w:sz w:val="24"/>
              </w:rPr>
            </w:pPr>
            <w:r>
              <w:rPr>
                <w:rFonts w:eastAsia="黑体"/>
                <w:sz w:val="24"/>
              </w:rPr>
              <w:t>综合意见</w:t>
            </w:r>
          </w:p>
        </w:tc>
        <w:tc>
          <w:tcPr>
            <w:tcW w:w="7692" w:type="dxa"/>
            <w:tcBorders>
              <w:top w:val="single" w:color="auto" w:sz="4" w:space="0"/>
              <w:left w:val="single" w:color="auto" w:sz="4" w:space="0"/>
              <w:bottom w:val="single" w:color="auto" w:sz="4" w:space="0"/>
              <w:right w:val="single" w:color="auto" w:sz="8" w:space="0"/>
            </w:tcBorders>
            <w:vAlign w:val="center"/>
          </w:tcPr>
          <w:p>
            <w:pPr>
              <w:snapToGrid w:val="0"/>
              <w:spacing w:beforeLines="100" w:line="420" w:lineRule="exact"/>
              <w:rPr>
                <w:sz w:val="24"/>
              </w:rPr>
            </w:pPr>
            <w:r>
              <w:rPr>
                <w:bCs/>
                <w:sz w:val="24"/>
              </w:rPr>
              <w:t>□</w:t>
            </w:r>
            <w:r>
              <w:rPr>
                <w:sz w:val="24"/>
              </w:rPr>
              <w:t>通过技术核查，建议联网内容为汽油车简易瞬态工况法、双怠速法、柴油车加载减速工况法、自由加速法（不适应的方法请用双斜线划去）。</w:t>
            </w:r>
          </w:p>
          <w:p>
            <w:pPr>
              <w:snapToGrid w:val="0"/>
              <w:spacing w:beforeLines="100" w:line="420" w:lineRule="exact"/>
              <w:rPr>
                <w:sz w:val="24"/>
              </w:rPr>
            </w:pPr>
            <w:r>
              <w:rPr>
                <w:bCs/>
                <w:sz w:val="24"/>
              </w:rPr>
              <w:t>□</w:t>
            </w:r>
            <w:r>
              <w:rPr>
                <w:sz w:val="24"/>
              </w:rPr>
              <w:t>需要整改的内容见“整改意见”。</w:t>
            </w:r>
          </w:p>
        </w:tc>
      </w:tr>
    </w:tbl>
    <w:p>
      <w:pPr>
        <w:adjustRightInd w:val="0"/>
        <w:snapToGrid w:val="0"/>
        <w:spacing w:beforeLines="50" w:line="360" w:lineRule="auto"/>
        <w:ind w:firstLine="240" w:firstLineChars="100"/>
        <w:rPr>
          <w:rFonts w:eastAsia="楷体_GB2312"/>
          <w:sz w:val="24"/>
          <w:u w:val="single"/>
        </w:rPr>
      </w:pPr>
      <w:r>
        <w:rPr>
          <w:rFonts w:eastAsia="楷体_GB2312"/>
          <w:sz w:val="24"/>
        </w:rPr>
        <w:t>技术核查组组长（签名）：</w:t>
      </w:r>
    </w:p>
    <w:p>
      <w:pPr>
        <w:adjustRightInd w:val="0"/>
        <w:snapToGrid w:val="0"/>
        <w:spacing w:beforeLines="50" w:line="360" w:lineRule="auto"/>
        <w:ind w:firstLine="240" w:firstLineChars="100"/>
        <w:rPr>
          <w:rFonts w:eastAsia="楷体_GB2312"/>
          <w:sz w:val="24"/>
        </w:rPr>
      </w:pPr>
    </w:p>
    <w:p>
      <w:pPr>
        <w:adjustRightInd w:val="0"/>
        <w:snapToGrid w:val="0"/>
        <w:spacing w:beforeLines="50" w:line="360" w:lineRule="auto"/>
        <w:ind w:firstLine="240" w:firstLineChars="100"/>
        <w:rPr>
          <w:rFonts w:eastAsia="楷体_GB2312"/>
          <w:sz w:val="24"/>
          <w:u w:val="single"/>
        </w:rPr>
      </w:pPr>
      <w:r>
        <w:rPr>
          <w:rFonts w:eastAsia="楷体_GB2312"/>
          <w:sz w:val="24"/>
        </w:rPr>
        <w:t>技术核查组组员（签名）：</w:t>
      </w: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28"/>
          <w:szCs w:val="28"/>
        </w:rPr>
      </w:pPr>
    </w:p>
    <w:p>
      <w:pPr>
        <w:spacing w:line="590" w:lineRule="exact"/>
        <w:rPr>
          <w:rFonts w:eastAsia="黑体"/>
          <w:sz w:val="32"/>
          <w:szCs w:val="32"/>
        </w:rPr>
        <w:sectPr>
          <w:footerReference r:id="rId3" w:type="default"/>
          <w:footerReference r:id="rId4" w:type="even"/>
          <w:pgSz w:w="11906" w:h="16838"/>
          <w:pgMar w:top="2098" w:right="1247" w:bottom="1758" w:left="1588" w:header="1134" w:footer="1503" w:gutter="0"/>
          <w:cols w:space="720" w:num="1"/>
          <w:docGrid w:type="lines" w:linePitch="312" w:charSpace="0"/>
        </w:sectPr>
      </w:pPr>
    </w:p>
    <w:p>
      <w:pPr>
        <w:spacing w:line="590" w:lineRule="exact"/>
        <w:rPr>
          <w:rFonts w:eastAsia="黑体"/>
          <w:sz w:val="32"/>
          <w:szCs w:val="32"/>
        </w:rPr>
      </w:pPr>
      <w:r>
        <w:rPr>
          <w:rFonts w:eastAsia="黑体"/>
          <w:sz w:val="32"/>
          <w:szCs w:val="32"/>
        </w:rPr>
        <w:t>附表1</w:t>
      </w:r>
    </w:p>
    <w:p>
      <w:pPr>
        <w:spacing w:line="590" w:lineRule="exact"/>
        <w:rPr>
          <w:rFonts w:eastAsia="黑体"/>
          <w:sz w:val="28"/>
          <w:szCs w:val="28"/>
        </w:rPr>
      </w:pPr>
    </w:p>
    <w:p>
      <w:pPr>
        <w:spacing w:line="590" w:lineRule="exact"/>
        <w:jc w:val="center"/>
        <w:rPr>
          <w:rFonts w:eastAsia="方正小标宋简体"/>
          <w:sz w:val="44"/>
          <w:szCs w:val="44"/>
        </w:rPr>
      </w:pPr>
      <w:r>
        <w:rPr>
          <w:rFonts w:eastAsia="方正小标宋简体"/>
          <w:sz w:val="44"/>
          <w:szCs w:val="44"/>
        </w:rPr>
        <w:t>相关资质核查情况记录表</w:t>
      </w:r>
    </w:p>
    <w:p>
      <w:pPr>
        <w:spacing w:line="590" w:lineRule="exact"/>
        <w:jc w:val="center"/>
        <w:rPr>
          <w:rFonts w:eastAsia="方正小标宋简体"/>
          <w:sz w:val="44"/>
          <w:szCs w:val="44"/>
        </w:rPr>
      </w:pP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7" w:type="dxa"/>
          <w:bottom w:w="0" w:type="dxa"/>
          <w:right w:w="57" w:type="dxa"/>
        </w:tblCellMar>
      </w:tblPr>
      <w:tblGrid>
        <w:gridCol w:w="810"/>
        <w:gridCol w:w="7380"/>
        <w:gridCol w:w="2477"/>
        <w:gridCol w:w="360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rFonts w:eastAsia="黑体"/>
                <w:sz w:val="24"/>
              </w:rPr>
            </w:pPr>
            <w:r>
              <w:rPr>
                <w:rFonts w:eastAsia="黑体"/>
                <w:sz w:val="24"/>
              </w:rPr>
              <w:t>序号</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rFonts w:eastAsia="黑体"/>
                <w:kern w:val="0"/>
                <w:sz w:val="24"/>
              </w:rPr>
            </w:pPr>
            <w:r>
              <w:rPr>
                <w:rFonts w:eastAsia="黑体"/>
                <w:kern w:val="0"/>
                <w:sz w:val="24"/>
              </w:rPr>
              <w:t>审查项目</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rFonts w:eastAsia="黑体"/>
                <w:bCs/>
                <w:sz w:val="24"/>
              </w:rPr>
            </w:pPr>
            <w:r>
              <w:rPr>
                <w:rFonts w:eastAsia="黑体"/>
                <w:bCs/>
                <w:sz w:val="24"/>
              </w:rPr>
              <w:t>审查结果</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rFonts w:eastAsia="黑体"/>
                <w:sz w:val="24"/>
              </w:rPr>
            </w:pPr>
            <w:r>
              <w:rPr>
                <w:rFonts w:eastAsia="黑体"/>
                <w:sz w:val="24"/>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1</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企业法人营业执照或事业单位法人证书</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2</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检验检测机构资质认定证书及证书附表（扩项）</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3</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highlight w:val="yellow"/>
              </w:rPr>
            </w:pPr>
            <w:r>
              <w:rPr>
                <w:kern w:val="0"/>
                <w:sz w:val="24"/>
              </w:rPr>
              <w:t>建设项目环境影响评价登记表或建设项目环境影响评价文件审批意见</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4</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检测仪器检定、校准证书</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5</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广州市机动车排气检测人员相关专业技术材料</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6</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检验机构联网传输核查证明</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54"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7</w:t>
            </w:r>
          </w:p>
        </w:tc>
        <w:tc>
          <w:tcPr>
            <w:tcW w:w="7380" w:type="dxa"/>
            <w:tcBorders>
              <w:top w:val="single" w:color="auto" w:sz="4" w:space="0"/>
              <w:left w:val="single" w:color="auto" w:sz="4" w:space="0"/>
              <w:bottom w:val="single" w:color="auto" w:sz="4" w:space="0"/>
              <w:right w:val="single" w:color="auto" w:sz="4" w:space="0"/>
            </w:tcBorders>
            <w:vAlign w:val="center"/>
          </w:tcPr>
          <w:p>
            <w:pPr>
              <w:jc w:val="center"/>
              <w:rPr>
                <w:kern w:val="0"/>
                <w:sz w:val="24"/>
              </w:rPr>
            </w:pPr>
            <w:r>
              <w:rPr>
                <w:kern w:val="0"/>
                <w:sz w:val="24"/>
              </w:rPr>
              <w:t>质量手册、程序文件、作业指导书</w:t>
            </w:r>
          </w:p>
        </w:tc>
        <w:tc>
          <w:tcPr>
            <w:tcW w:w="2477"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□符合□不符合</w:t>
            </w:r>
          </w:p>
        </w:tc>
        <w:tc>
          <w:tcPr>
            <w:tcW w:w="3600" w:type="dxa"/>
            <w:tcBorders>
              <w:top w:val="single" w:color="auto" w:sz="4" w:space="0"/>
              <w:left w:val="single" w:color="auto" w:sz="4" w:space="0"/>
              <w:bottom w:val="single" w:color="auto" w:sz="4" w:space="0"/>
              <w:right w:val="single" w:color="auto" w:sz="4" w:space="0"/>
            </w:tcBorders>
            <w:vAlign w:val="center"/>
          </w:tcPr>
          <w:p>
            <w:pPr>
              <w:jc w:val="center"/>
              <w:rPr>
                <w:sz w:val="24"/>
              </w:rPr>
            </w:pPr>
          </w:p>
        </w:tc>
      </w:tr>
    </w:tbl>
    <w:p>
      <w:pPr>
        <w:rPr>
          <w:rFonts w:eastAsia="楷体_GB2312"/>
          <w:sz w:val="24"/>
        </w:rPr>
      </w:pPr>
    </w:p>
    <w:p>
      <w:pPr>
        <w:ind w:firstLine="120" w:firstLineChars="50"/>
        <w:rPr>
          <w:rFonts w:eastAsia="楷体_GB2312"/>
          <w:sz w:val="24"/>
          <w:u w:val="single"/>
        </w:rPr>
      </w:pPr>
      <w:r>
        <w:rPr>
          <w:rFonts w:eastAsia="楷体_GB2312"/>
          <w:sz w:val="24"/>
        </w:rPr>
        <w:t>核查人员（签名）：</w:t>
      </w:r>
    </w:p>
    <w:p>
      <w:pPr>
        <w:spacing w:line="520" w:lineRule="exact"/>
        <w:rPr>
          <w:rFonts w:eastAsia="黑体"/>
          <w:sz w:val="28"/>
          <w:szCs w:val="28"/>
        </w:rPr>
      </w:pPr>
    </w:p>
    <w:p>
      <w:pPr>
        <w:spacing w:line="520" w:lineRule="exact"/>
        <w:rPr>
          <w:rFonts w:eastAsia="黑体"/>
          <w:sz w:val="28"/>
          <w:szCs w:val="28"/>
        </w:rPr>
      </w:pPr>
    </w:p>
    <w:p>
      <w:pPr>
        <w:spacing w:line="520" w:lineRule="exact"/>
        <w:rPr>
          <w:rFonts w:eastAsia="黑体"/>
          <w:sz w:val="28"/>
          <w:szCs w:val="28"/>
        </w:rPr>
      </w:pPr>
    </w:p>
    <w:p>
      <w:pPr>
        <w:spacing w:line="520" w:lineRule="exact"/>
        <w:rPr>
          <w:rFonts w:eastAsia="黑体"/>
          <w:sz w:val="28"/>
          <w:szCs w:val="28"/>
        </w:rPr>
      </w:pPr>
    </w:p>
    <w:p>
      <w:pPr>
        <w:spacing w:line="560" w:lineRule="exact"/>
        <w:rPr>
          <w:rFonts w:eastAsia="黑体"/>
          <w:sz w:val="32"/>
          <w:szCs w:val="32"/>
        </w:rPr>
      </w:pPr>
      <w:r>
        <w:rPr>
          <w:rFonts w:eastAsia="黑体"/>
          <w:sz w:val="32"/>
          <w:szCs w:val="32"/>
        </w:rPr>
        <w:t>附表2</w:t>
      </w:r>
    </w:p>
    <w:p>
      <w:pPr>
        <w:spacing w:line="300" w:lineRule="exact"/>
        <w:rPr>
          <w:rFonts w:eastAsia="方正小标宋简体"/>
          <w:sz w:val="44"/>
          <w:szCs w:val="44"/>
        </w:rPr>
      </w:pPr>
    </w:p>
    <w:p>
      <w:pPr>
        <w:spacing w:afterLines="100" w:line="560" w:lineRule="exact"/>
        <w:jc w:val="center"/>
        <w:rPr>
          <w:rFonts w:eastAsia="方正小标宋简体"/>
          <w:sz w:val="44"/>
          <w:szCs w:val="44"/>
        </w:rPr>
      </w:pPr>
      <w:r>
        <w:rPr>
          <w:rFonts w:eastAsia="方正小标宋简体"/>
          <w:sz w:val="44"/>
          <w:szCs w:val="44"/>
        </w:rPr>
        <w:t>简易瞬态工况法设备性能核查表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62"/>
        <w:gridCol w:w="1343"/>
        <w:gridCol w:w="1620"/>
        <w:gridCol w:w="4304"/>
        <w:gridCol w:w="2725"/>
        <w:gridCol w:w="1843"/>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tblHeader/>
          <w:jc w:val="center"/>
        </w:trPr>
        <w:tc>
          <w:tcPr>
            <w:tcW w:w="762"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hAnsi="黑体" w:eastAsia="黑体"/>
                <w:bCs/>
                <w:sz w:val="24"/>
              </w:rPr>
              <w:t>序号</w:t>
            </w:r>
          </w:p>
        </w:tc>
        <w:tc>
          <w:tcPr>
            <w:tcW w:w="7267"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hAnsi="黑体" w:eastAsia="黑体"/>
                <w:bCs/>
                <w:sz w:val="24"/>
              </w:rPr>
              <w:t>核查项目</w:t>
            </w:r>
          </w:p>
        </w:tc>
        <w:tc>
          <w:tcPr>
            <w:tcW w:w="2725"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hAnsi="黑体" w:eastAsia="黑体"/>
                <w:bCs/>
                <w:sz w:val="24"/>
              </w:rPr>
              <w:t>标准条款</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hAnsi="黑体" w:eastAsia="黑体"/>
                <w:bCs/>
                <w:sz w:val="24"/>
              </w:rPr>
              <w:t>核查结果</w:t>
            </w:r>
          </w:p>
        </w:tc>
        <w:tc>
          <w:tcPr>
            <w:tcW w:w="170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hAnsi="黑体" w:eastAsia="黑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4" w:hRule="atLeast"/>
          <w:jc w:val="center"/>
        </w:trPr>
        <w:tc>
          <w:tcPr>
            <w:tcW w:w="76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2.1</w:t>
            </w:r>
          </w:p>
        </w:tc>
        <w:tc>
          <w:tcPr>
            <w:tcW w:w="134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底盘测功机</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*加载滑行测试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在6.0～13.0kW随机选择一个加载滑行功率值，滑行误差应在±7%以内</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GB18285-2018之条款DA.1.1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*负荷准确度</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加载滑行功率为4kW和18kW时，滑行误差应在±4%之内；加载滑行功率为11kW时，滑行误差应在±2%之内</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GB18285-2018之条款D.3.2.5.3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00"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*响应时间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底盘测功机的T</w:t>
            </w:r>
            <w:r>
              <w:rPr>
                <w:sz w:val="24"/>
                <w:vertAlign w:val="subscript"/>
              </w:rPr>
              <w:t>90</w:t>
            </w:r>
            <w:r>
              <w:rPr>
                <w:sz w:val="24"/>
              </w:rPr>
              <w:t>加载响应时间应小于200ms, T</w:t>
            </w:r>
            <w:r>
              <w:rPr>
                <w:sz w:val="24"/>
                <w:vertAlign w:val="subscript"/>
              </w:rPr>
              <w:t>95</w:t>
            </w:r>
            <w:r>
              <w:rPr>
                <w:sz w:val="24"/>
              </w:rPr>
              <w:t>加载响应时间应小于300ms，最大扭矩冲击值小于目标值125%</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GB18285-2018之条款D.3.2.5.4</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84"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*变负荷滑行</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对应80.5～8.0km/h、72.4～16.1km/h和61.1～43.4km/h速度区间的滑行时间偏差分别小于4.0%、2.0%和3.0%</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GB18285-2018之条款D.3.2.5.5</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附加损失</w:t>
            </w:r>
          </w:p>
          <w:p>
            <w:pPr>
              <w:snapToGrid w:val="0"/>
              <w:spacing w:line="300" w:lineRule="exact"/>
              <w:jc w:val="center"/>
              <w:rPr>
                <w:sz w:val="24"/>
              </w:rPr>
            </w:pPr>
            <w:r>
              <w:rPr>
                <w:sz w:val="24"/>
              </w:rPr>
              <w:t>测试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附加损失测试滑行速度为10～60km/h，能自动保存滑行修正值</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DA.1.2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2.2</w:t>
            </w:r>
          </w:p>
        </w:tc>
        <w:tc>
          <w:tcPr>
            <w:tcW w:w="134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气体流量分析仪</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*日常检查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20秒读数平均值与流量名义值的相对误差不超过±10%</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HJ/T290-2006之条款6.4.3条</w:t>
            </w:r>
          </w:p>
        </w:tc>
        <w:tc>
          <w:tcPr>
            <w:tcW w:w="1843" w:type="dxa"/>
            <w:tcBorders>
              <w:top w:val="single" w:color="auto" w:sz="4" w:space="0"/>
              <w:left w:val="single" w:color="auto" w:sz="4" w:space="0"/>
              <w:bottom w:val="single" w:color="auto" w:sz="4" w:space="0"/>
              <w:right w:val="single" w:color="auto" w:sz="4" w:space="0"/>
            </w:tcBorders>
          </w:tcPr>
          <w:p>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*流量范围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无集气管影响时，流量计的流量范围是118～165L/s</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HJ/T290-2006之条款6.3.10条</w:t>
            </w:r>
          </w:p>
        </w:tc>
        <w:tc>
          <w:tcPr>
            <w:tcW w:w="1843" w:type="dxa"/>
            <w:tcBorders>
              <w:top w:val="single" w:color="auto" w:sz="4" w:space="0"/>
              <w:left w:val="single" w:color="auto" w:sz="4" w:space="0"/>
              <w:bottom w:val="single" w:color="auto" w:sz="4" w:space="0"/>
              <w:right w:val="single" w:color="auto" w:sz="4" w:space="0"/>
            </w:tcBorders>
          </w:tcPr>
          <w:p>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5"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*鼓风机</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流量处于6-12m</w:t>
            </w:r>
            <w:r>
              <w:rPr>
                <w:sz w:val="24"/>
                <w:vertAlign w:val="superscript"/>
              </w:rPr>
              <w:t>3</w:t>
            </w:r>
            <w:r>
              <w:rPr>
                <w:sz w:val="24"/>
              </w:rPr>
              <w:t>/min</w:t>
            </w:r>
          </w:p>
        </w:tc>
        <w:tc>
          <w:tcPr>
            <w:tcW w:w="2725"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GB18285-2018之条款D.3.5.2</w:t>
            </w:r>
          </w:p>
        </w:tc>
        <w:tc>
          <w:tcPr>
            <w:tcW w:w="1843" w:type="dxa"/>
            <w:tcBorders>
              <w:top w:val="single" w:color="auto" w:sz="4" w:space="0"/>
              <w:left w:val="single" w:color="auto" w:sz="4" w:space="0"/>
              <w:bottom w:val="single" w:color="auto" w:sz="4" w:space="0"/>
              <w:right w:val="single" w:color="auto" w:sz="4" w:space="0"/>
            </w:tcBorders>
            <w:vAlign w:val="center"/>
          </w:tcPr>
          <w:p>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*废气收集管（集气管）</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直径为10cm左右</w:t>
            </w:r>
          </w:p>
        </w:tc>
        <w:tc>
          <w:tcPr>
            <w:tcW w:w="272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流量计检查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O</w:t>
            </w:r>
            <w:r>
              <w:rPr>
                <w:sz w:val="24"/>
                <w:vertAlign w:val="subscript"/>
              </w:rPr>
              <w:t>2</w:t>
            </w:r>
            <w:r>
              <w:rPr>
                <w:sz w:val="24"/>
              </w:rPr>
              <w:t>传感器T</w:t>
            </w:r>
            <w:r>
              <w:rPr>
                <w:sz w:val="24"/>
                <w:vertAlign w:val="subscript"/>
              </w:rPr>
              <w:t>90</w:t>
            </w:r>
            <w:r>
              <w:rPr>
                <w:sz w:val="24"/>
              </w:rPr>
              <w:t>响应时间小于4s，T</w:t>
            </w:r>
            <w:r>
              <w:rPr>
                <w:sz w:val="24"/>
                <w:vertAlign w:val="subscript"/>
              </w:rPr>
              <w:t>10</w:t>
            </w:r>
            <w:r>
              <w:rPr>
                <w:sz w:val="24"/>
              </w:rPr>
              <w:t>小于5s</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GB18285-2018之条款D.3.5.1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pPr>
            <w:r>
              <w:rPr>
                <w:sz w:val="24"/>
              </w:rPr>
              <w:t>2.3</w:t>
            </w:r>
          </w:p>
        </w:tc>
        <w:tc>
          <w:tcPr>
            <w:tcW w:w="134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排气分析仪及排气取样系统</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*泄漏检查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每天开机开始检测前，提示密闭采样探头自动进行取样系统泄漏检查，如未检查或检查不通过，应自动锁定分析仪排气检测功能</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GB18285-2018之条款D.3.3.6.3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2"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*低浓度标准气体检查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CO、CO</w:t>
            </w:r>
            <w:r>
              <w:rPr>
                <w:sz w:val="24"/>
                <w:vertAlign w:val="subscript"/>
              </w:rPr>
              <w:t>2</w:t>
            </w:r>
            <w:r>
              <w:rPr>
                <w:sz w:val="24"/>
              </w:rPr>
              <w:t>、HC、NO等低标检查误差符合标准要求</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DA.2.1.1表D.6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96"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*取样探头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采样管长度为7.5m，取样探头的长度应保证插深400mm以上</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GB18285-2018之条款D.3.3.2和D.3.3.3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*响应时间</w:t>
            </w:r>
          </w:p>
          <w:p>
            <w:pPr>
              <w:snapToGrid w:val="0"/>
              <w:spacing w:line="300" w:lineRule="exact"/>
              <w:jc w:val="center"/>
              <w:rPr>
                <w:sz w:val="24"/>
              </w:rPr>
            </w:pPr>
            <w:r>
              <w:rPr>
                <w:sz w:val="24"/>
              </w:rPr>
              <w:t>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高标气检查时其T</w:t>
            </w:r>
            <w:r>
              <w:rPr>
                <w:sz w:val="24"/>
                <w:vertAlign w:val="subscript"/>
              </w:rPr>
              <w:t>90.CO</w:t>
            </w:r>
            <w:r>
              <w:rPr>
                <w:sz w:val="24"/>
              </w:rPr>
              <w:t>＜5.5s，T</w:t>
            </w:r>
            <w:r>
              <w:rPr>
                <w:sz w:val="24"/>
                <w:vertAlign w:val="subscript"/>
              </w:rPr>
              <w:t>10.CO</w:t>
            </w:r>
            <w:r>
              <w:rPr>
                <w:sz w:val="24"/>
              </w:rPr>
              <w:t>＜5.7s;T</w:t>
            </w:r>
            <w:r>
              <w:rPr>
                <w:sz w:val="24"/>
                <w:vertAlign w:val="subscript"/>
              </w:rPr>
              <w:t>90.NOx</w:t>
            </w:r>
            <w:r>
              <w:rPr>
                <w:sz w:val="24"/>
              </w:rPr>
              <w:t>＜6.5s，T</w:t>
            </w:r>
            <w:r>
              <w:rPr>
                <w:sz w:val="24"/>
                <w:vertAlign w:val="subscript"/>
              </w:rPr>
              <w:t>10.NOx</w:t>
            </w:r>
            <w:r>
              <w:rPr>
                <w:sz w:val="24"/>
              </w:rPr>
              <w:t>＜6.7s; T</w:t>
            </w:r>
            <w:r>
              <w:rPr>
                <w:sz w:val="24"/>
                <w:vertAlign w:val="subscript"/>
              </w:rPr>
              <w:t>90.O2</w:t>
            </w:r>
            <w:r>
              <w:rPr>
                <w:sz w:val="24"/>
              </w:rPr>
              <w:t>＜7.5s，T</w:t>
            </w:r>
            <w:r>
              <w:rPr>
                <w:sz w:val="24"/>
                <w:vertAlign w:val="subscript"/>
              </w:rPr>
              <w:t>10.O2</w:t>
            </w:r>
            <w:r>
              <w:rPr>
                <w:sz w:val="24"/>
              </w:rPr>
              <w:t>＜8.7s否则应锁止分析仪排气检测功能</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GB18285-2018之条款DA.2.1.3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62"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*低流量指示</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样气流量低于分析仪设计的规定最小值时，应锁止排气分析仪排气检测功能</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GB18285-2018之条款D.3.3.6.2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02"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*HC残留量检查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取样系统 HC 残留量超过7×10</w:t>
            </w:r>
            <w:r>
              <w:rPr>
                <w:sz w:val="24"/>
                <w:vertAlign w:val="superscript"/>
              </w:rPr>
              <w:t>-6</w:t>
            </w:r>
            <w:r>
              <w:rPr>
                <w:sz w:val="24"/>
              </w:rPr>
              <w:t>时应锁止排气分析仪排气检测功能</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GB18285-2018之条款D.3.3.6.4</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54"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*转化炉效率</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转化炉的转换效率应≥90%（使用转化炉测量NO</w:t>
            </w:r>
            <w:r>
              <w:rPr>
                <w:sz w:val="24"/>
                <w:vertAlign w:val="subscript"/>
              </w:rPr>
              <w:t>2</w:t>
            </w:r>
            <w:r>
              <w:rPr>
                <w:sz w:val="24"/>
              </w:rPr>
              <w:t>时）</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D.3.4.1.1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漂移检查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“0”点时漂满足准确度要求，10min内无大于1.5倍精度公差周期性变化，量距点时漂满足精度要求，3小时内量距点漂移小于准确度的5/3倍</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GB18285-2018之条款D.3.4.1.9</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2.4</w:t>
            </w:r>
          </w:p>
        </w:tc>
        <w:tc>
          <w:tcPr>
            <w:tcW w:w="13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OBD诊断仪</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*基本功能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无改写车辆OBD系统功能，能获取并显示当前数据流信息、故障指示器状态信息、车辆认证信息以及获取并显示产生故障存储的冻结帧数据。</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FA.2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2.5</w:t>
            </w:r>
          </w:p>
        </w:tc>
        <w:tc>
          <w:tcPr>
            <w:tcW w:w="134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工控软件</w:t>
            </w:r>
          </w:p>
        </w:tc>
        <w:tc>
          <w:tcPr>
            <w:tcW w:w="1620"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测试过程中断测试功能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 xml:space="preserve">*稀释流量低于95L/s </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HJ/T290-2006之条款6.6.4条</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4"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 xml:space="preserve">*设置车速上下限为±3.0km/h，连续超差应小于2s </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D2.6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6"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分析仪采样流量偏低</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D2.6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0"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CO2≥16.0%,O2&lt;-0.1%,CO&lt;-0.6%,HC&lt;-13ppm</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D2.6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*拔采样管与集气管</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测试测试中拔去采样探头(或集气管)或发动机熄火应终止测试（混合动力车辆测试除外）</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A.3.5、B.4.2.8和D2.6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*双怠速法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发动机转速控制应满足标准要求，高怠速和怠速不允许累计计时和应按45s整体计时控制</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3.16和附录A</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08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*测试前自检</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1.测试前应进行分析仪的自动校正，包括调零、环境空气测试、背景空气测试等，背景空气残留值过大应锁止测试</w:t>
            </w:r>
          </w:p>
          <w:p>
            <w:pPr>
              <w:snapToGrid w:val="0"/>
              <w:spacing w:line="300" w:lineRule="exact"/>
              <w:rPr>
                <w:sz w:val="24"/>
              </w:rPr>
            </w:pPr>
            <w:r>
              <w:rPr>
                <w:sz w:val="24"/>
              </w:rPr>
              <w:t>2.气体流量分析仪测量的大气环境中O</w:t>
            </w:r>
            <w:r>
              <w:rPr>
                <w:sz w:val="24"/>
                <w:vertAlign w:val="subscript"/>
              </w:rPr>
              <w:t>2</w:t>
            </w:r>
            <w:r>
              <w:rPr>
                <w:sz w:val="24"/>
              </w:rPr>
              <w:t>浓度应处于20.8±0.3%，如超差范围则应报警和自动进入环境空气检查程序</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D.3.4.2.1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56"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*信息显示</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测试过程中，司机助手显示屏幕需显示测试过程的必要信息，不允许实时显示排放测试值</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GB18285-2018之条款DB.2.2.10</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*外观检查</w:t>
            </w:r>
          </w:p>
          <w:p>
            <w:pPr>
              <w:snapToGrid w:val="0"/>
              <w:spacing w:line="300" w:lineRule="exact"/>
              <w:jc w:val="center"/>
              <w:rPr>
                <w:sz w:val="24"/>
              </w:rPr>
            </w:pPr>
            <w:r>
              <w:rPr>
                <w:sz w:val="24"/>
              </w:rPr>
              <w:t>记录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外观检查记录信息全面（必须包含排放控制装置信息），本地记录和报送一致且符合标准要求</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5、6和附录H</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0" w:hRule="atLeast"/>
          <w:jc w:val="center"/>
        </w:trPr>
        <w:tc>
          <w:tcPr>
            <w:tcW w:w="762"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2.5</w:t>
            </w:r>
          </w:p>
        </w:tc>
        <w:tc>
          <w:tcPr>
            <w:tcW w:w="1343"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工控软件（续）</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设备日常</w:t>
            </w:r>
          </w:p>
          <w:p>
            <w:pPr>
              <w:snapToGrid w:val="0"/>
              <w:spacing w:line="300" w:lineRule="exact"/>
              <w:jc w:val="center"/>
              <w:rPr>
                <w:sz w:val="24"/>
              </w:rPr>
            </w:pPr>
            <w:r>
              <w:rPr>
                <w:sz w:val="24"/>
              </w:rPr>
              <w:t>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分析仪标定（高标检查过程）、检查信息，底盘测功机滑行信息，发动机转速计等其它信息应自动记录和上传，且本地记录与报送信息一致</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DB.2.3和DB.2.4</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72"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*检测数据</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排气检验过程数据和检验结果应自动保存和记录，且本地记录与报送内容一致</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A.5、附件BD和附录H</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91"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检测结果有效性判断</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1.测试实际距离与理论距离应小于0.2km；2.除混合动力车外，CO</w:t>
            </w:r>
            <w:r>
              <w:rPr>
                <w:sz w:val="24"/>
                <w:vertAlign w:val="subscript"/>
              </w:rPr>
              <w:t>2</w:t>
            </w:r>
            <w:r>
              <w:rPr>
                <w:sz w:val="24"/>
              </w:rPr>
              <w:t>测量结果小于30g/km；3.识别O</w:t>
            </w:r>
            <w:r>
              <w:rPr>
                <w:sz w:val="24"/>
                <w:vertAlign w:val="subscript"/>
              </w:rPr>
              <w:t>2</w:t>
            </w:r>
            <w:r>
              <w:rPr>
                <w:sz w:val="24"/>
              </w:rPr>
              <w:t>浓度错误；4.超出流量计的流量范围范围</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GB18285-2018之条款D2.7</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6"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*软件功能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1.有否底盘测功机的各种滑行功能；2.有否分析仪的漂移检查、单点检查、五点检查功能；3.有否气体流量分析仪的检查功能；4.NO</w:t>
            </w:r>
            <w:r>
              <w:rPr>
                <w:sz w:val="24"/>
                <w:vertAlign w:val="subscript"/>
              </w:rPr>
              <w:t>2</w:t>
            </w:r>
            <w:r>
              <w:rPr>
                <w:sz w:val="24"/>
              </w:rPr>
              <w:t>如使用转化炉转化为NO，应有转化炉转化效率测试功能</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w:t>
            </w:r>
          </w:p>
          <w:p>
            <w:pPr>
              <w:snapToGrid w:val="0"/>
              <w:spacing w:line="300" w:lineRule="exact"/>
              <w:jc w:val="center"/>
              <w:rPr>
                <w:sz w:val="24"/>
              </w:rPr>
            </w:pPr>
            <w:r>
              <w:rPr>
                <w:sz w:val="24"/>
              </w:rPr>
              <w:t>附件DB相关内容及D.3.4.1.1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8"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数据下载与更新功能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每天开机后或根据主管部门要求应自中央数据库下载相关内容</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GB18285-2018之条款DB.2.1.7</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6" w:hRule="atLeast"/>
          <w:jc w:val="center"/>
        </w:trPr>
        <w:tc>
          <w:tcPr>
            <w:tcW w:w="76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3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锁止功能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1.系统时钟同步和修改自锁控制</w:t>
            </w:r>
          </w:p>
          <w:p>
            <w:pPr>
              <w:snapToGrid w:val="0"/>
              <w:spacing w:line="300" w:lineRule="exact"/>
              <w:rPr>
                <w:sz w:val="24"/>
              </w:rPr>
            </w:pPr>
            <w:r>
              <w:rPr>
                <w:sz w:val="24"/>
              </w:rPr>
              <w:t>2.自检不通过锁止</w:t>
            </w:r>
          </w:p>
          <w:p>
            <w:pPr>
              <w:snapToGrid w:val="0"/>
              <w:spacing w:line="300" w:lineRule="exact"/>
              <w:rPr>
                <w:sz w:val="24"/>
              </w:rPr>
            </w:pPr>
            <w:r>
              <w:rPr>
                <w:sz w:val="24"/>
              </w:rPr>
              <w:t>3.日常检查不通过锁止</w:t>
            </w:r>
          </w:p>
        </w:tc>
        <w:tc>
          <w:tcPr>
            <w:tcW w:w="2725"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GB18285-2018之相关条款和D4.9</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70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96" w:hRule="atLeast"/>
          <w:jc w:val="center"/>
        </w:trPr>
        <w:tc>
          <w:tcPr>
            <w:tcW w:w="210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综合结论</w:t>
            </w:r>
          </w:p>
        </w:tc>
        <w:tc>
          <w:tcPr>
            <w:tcW w:w="12193"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00" w:lineRule="exact"/>
              <w:rPr>
                <w:bCs/>
                <w:sz w:val="24"/>
              </w:rPr>
            </w:pPr>
            <w:r>
              <w:rPr>
                <w:bCs/>
                <w:sz w:val="24"/>
              </w:rPr>
              <w:t>□通过  □不通过，不通过主要原因：</w:t>
            </w:r>
          </w:p>
        </w:tc>
      </w:tr>
    </w:tbl>
    <w:p>
      <w:pPr>
        <w:spacing w:line="590" w:lineRule="exact"/>
        <w:jc w:val="left"/>
        <w:rPr>
          <w:szCs w:val="21"/>
        </w:rPr>
      </w:pPr>
      <w:r>
        <w:rPr>
          <w:szCs w:val="21"/>
        </w:rPr>
        <w:t>说明：*为必检项，备注则说明不合格项具体内容。</w:t>
      </w:r>
    </w:p>
    <w:p>
      <w:pPr>
        <w:spacing w:line="590" w:lineRule="exact"/>
        <w:jc w:val="left"/>
        <w:rPr>
          <w:rFonts w:eastAsia="方正小标宋简体"/>
          <w:sz w:val="44"/>
          <w:szCs w:val="44"/>
        </w:rPr>
      </w:pPr>
      <w:r>
        <w:rPr>
          <w:rFonts w:eastAsia="仿宋_GB2312"/>
          <w:sz w:val="24"/>
        </w:rPr>
        <w:t>核查人员（签名）：</w:t>
      </w:r>
    </w:p>
    <w:p>
      <w:pPr>
        <w:spacing w:afterLines="50" w:line="480" w:lineRule="exact"/>
        <w:rPr>
          <w:rFonts w:eastAsia="黑体"/>
          <w:sz w:val="32"/>
          <w:szCs w:val="32"/>
        </w:rPr>
      </w:pPr>
      <w:r>
        <w:rPr>
          <w:rFonts w:eastAsia="黑体"/>
          <w:sz w:val="32"/>
          <w:szCs w:val="32"/>
        </w:rPr>
        <w:t>附表3</w:t>
      </w:r>
    </w:p>
    <w:p>
      <w:pPr>
        <w:spacing w:afterLines="50" w:line="480" w:lineRule="exact"/>
        <w:jc w:val="center"/>
        <w:rPr>
          <w:rFonts w:eastAsia="方正小标宋简体"/>
          <w:sz w:val="44"/>
          <w:szCs w:val="44"/>
        </w:rPr>
      </w:pPr>
      <w:r>
        <w:rPr>
          <w:rFonts w:eastAsia="方正小标宋简体"/>
          <w:sz w:val="44"/>
          <w:szCs w:val="44"/>
        </w:rPr>
        <w:t>加载减速法设备性能核查表</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09"/>
        <w:gridCol w:w="1426"/>
        <w:gridCol w:w="1620"/>
        <w:gridCol w:w="4304"/>
        <w:gridCol w:w="2830"/>
        <w:gridCol w:w="184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tblHeader/>
          <w:jc w:val="center"/>
        </w:trPr>
        <w:tc>
          <w:tcPr>
            <w:tcW w:w="709"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eastAsia="黑体"/>
                <w:bCs/>
                <w:sz w:val="24"/>
              </w:rPr>
              <w:t>序号</w:t>
            </w:r>
          </w:p>
        </w:tc>
        <w:tc>
          <w:tcPr>
            <w:tcW w:w="7350" w:type="dxa"/>
            <w:gridSpan w:val="3"/>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eastAsia="黑体"/>
                <w:bCs/>
                <w:sz w:val="24"/>
              </w:rPr>
              <w:t>核查项目</w:t>
            </w:r>
          </w:p>
        </w:tc>
        <w:tc>
          <w:tcPr>
            <w:tcW w:w="2830"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eastAsia="黑体"/>
                <w:bCs/>
                <w:sz w:val="24"/>
              </w:rPr>
              <w:t>标准条款</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eastAsia="黑体"/>
                <w:bCs/>
                <w:sz w:val="24"/>
              </w:rPr>
              <w:t>核查结果</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eastAsia="黑体"/>
                <w:bCs/>
                <w:sz w:val="24"/>
              </w:rPr>
            </w:pPr>
            <w:r>
              <w:rPr>
                <w:rFonts w:eastAsia="黑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3.1</w:t>
            </w:r>
          </w:p>
        </w:tc>
        <w:tc>
          <w:tcPr>
            <w:tcW w:w="1426"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底盘测功机</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*加载滑行测试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在6.0～13.0kW随机选择一个加载滑行功率值，加载滑行误差处于±7%以内</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GB3847-2018之条款B.5.1和BB.1.6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48"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*负荷准确度</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30kW的加载滑行误差应在±4%内；10kW和20kW的加载滑行误差应在±2%内</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BB.1.6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*响应时间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按标准要求，设置响应时间测试步骤，在300ms内，对扭矩阶跃变化的响应应达到90%</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BB.1.7</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*变负荷滑行</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驱动底盘测功机，使滚筒速度达到88.5km/h，施加3.7kW的负荷，当速度达80.5km/h时，记录启动时间，按表B.3给定的速度，施加响应的负荷，对应80.5～8.0km/h、72.4～16.1km/h和61.1～43.4km/h速度区间的滑行时间偏差分别小于4.0%、2.0%和3.0%</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BB.1.7</w:t>
            </w:r>
          </w:p>
          <w:p>
            <w:pPr>
              <w:snapToGrid w:val="0"/>
              <w:spacing w:line="300" w:lineRule="exact"/>
              <w:jc w:val="center"/>
              <w:rPr>
                <w:sz w:val="24"/>
              </w:rPr>
            </w:pPr>
            <w:r>
              <w:rPr>
                <w:sz w:val="24"/>
              </w:rPr>
              <w:t>和参照GB18285-2018之条款B.5.1.4.5</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附加损失功率</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滑行速度区间为10～100km/h（至少为10～80km/h），按10km/h分段测试，自动保存滑行修正结果和显示过程曲线</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BB.1.5</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8" w:hRule="atLeast"/>
          <w:jc w:val="center"/>
        </w:trPr>
        <w:tc>
          <w:tcPr>
            <w:tcW w:w="709" w:type="dxa"/>
            <w:vMerge w:val="restart"/>
            <w:tcBorders>
              <w:top w:val="nil"/>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3.2</w:t>
            </w:r>
          </w:p>
        </w:tc>
        <w:tc>
          <w:tcPr>
            <w:tcW w:w="1426" w:type="dxa"/>
            <w:vMerge w:val="restart"/>
            <w:tcBorders>
              <w:top w:val="nil"/>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不透光烟度计</w:t>
            </w:r>
          </w:p>
        </w:tc>
        <w:tc>
          <w:tcPr>
            <w:tcW w:w="1620" w:type="dxa"/>
            <w:tcBorders>
              <w:top w:val="nil"/>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*滤光片检查</w:t>
            </w:r>
          </w:p>
        </w:tc>
        <w:tc>
          <w:tcPr>
            <w:tcW w:w="4304" w:type="dxa"/>
            <w:tcBorders>
              <w:top w:val="nil"/>
              <w:left w:val="single" w:color="auto" w:sz="4" w:space="0"/>
              <w:bottom w:val="single" w:color="auto" w:sz="4" w:space="0"/>
              <w:right w:val="single" w:color="auto" w:sz="4" w:space="0"/>
            </w:tcBorders>
            <w:vAlign w:val="center"/>
          </w:tcPr>
          <w:p>
            <w:pPr>
              <w:snapToGrid w:val="0"/>
              <w:spacing w:line="300" w:lineRule="exact"/>
              <w:rPr>
                <w:sz w:val="24"/>
              </w:rPr>
            </w:pPr>
            <w:r>
              <w:rPr>
                <w:sz w:val="24"/>
              </w:rPr>
              <w:t>使用30%、50%、70%等滤光片检查的读数误差不大于±2%</w:t>
            </w:r>
          </w:p>
        </w:tc>
        <w:tc>
          <w:tcPr>
            <w:tcW w:w="2830" w:type="dxa"/>
            <w:tcBorders>
              <w:top w:val="nil"/>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C.6.1</w:t>
            </w:r>
          </w:p>
        </w:tc>
        <w:tc>
          <w:tcPr>
            <w:tcW w:w="1843" w:type="dxa"/>
            <w:tcBorders>
              <w:top w:val="nil"/>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nil"/>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*取样探头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轻型车设备采样管长度为1.5m，重型车采样管长度为3.5m，取样探头插深应保证400mm以上</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B.2.3.1.5和HJ/T292-2006之相关条款</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nil"/>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nil"/>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零点漂移检查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30min内烟度计的漂移误差应小于±1%</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C.6.1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bCs/>
                <w:sz w:val="24"/>
              </w:rPr>
            </w:pPr>
            <w:r>
              <w:rPr>
                <w:bCs/>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3.3</w:t>
            </w:r>
          </w:p>
        </w:tc>
        <w:tc>
          <w:tcPr>
            <w:tcW w:w="1426"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OBD诊断仪</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*基本功能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无改写车辆OBD系统功能，能获取并显示当前数据流信息、故障指示器状态信息、车辆认证信息以及获取并显示产生故障存储的冻结帧数据。</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EA.2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3.4</w:t>
            </w:r>
          </w:p>
        </w:tc>
        <w:tc>
          <w:tcPr>
            <w:tcW w:w="1426"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NOX分析仪</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*低浓度标准气检查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NO、NO2和CO2等低标检查误差符合标准要求</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B.3.4.5表B.1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*响应时间</w:t>
            </w:r>
          </w:p>
          <w:p>
            <w:pPr>
              <w:snapToGrid w:val="0"/>
              <w:spacing w:line="300" w:lineRule="exact"/>
              <w:jc w:val="center"/>
              <w:rPr>
                <w:sz w:val="24"/>
              </w:rPr>
            </w:pPr>
            <w:r>
              <w:rPr>
                <w:sz w:val="24"/>
              </w:rPr>
              <w:t>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高标气检查时，NOX传感器的响应时间应满足T90.NOX＜6.5s，T10.NOX＜6.7s，否则应锁止NOx排气测试功能</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BB.3.1.3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*转化炉效率</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转化炉的转换效率应≥90%（使用转化炉测量NO2时）</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B.3.4.4</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30"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3.5</w:t>
            </w:r>
          </w:p>
        </w:tc>
        <w:tc>
          <w:tcPr>
            <w:tcW w:w="1426"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发动机转速计</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基本功能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转速测量响应时间能同步车辆发动机转速测量时间</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B.3.2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13"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3.6</w:t>
            </w:r>
          </w:p>
        </w:tc>
        <w:tc>
          <w:tcPr>
            <w:tcW w:w="1426"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工控软件</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工况时间</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加载减速检测过程应在2min内完成，最长不能超过3min</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B.3.5.3</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*采样探头插深</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加载减速测试过程中的CO2小于2%时应终止测试。</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B.4.2.16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*自由加速法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采用转速控制自由加速测量过程，工况测量最大转速应达到发动机额定转速，最大转速运行时间超过2s，怠速稳定时间超过10s，单个测试工况时间小于20s</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附录A</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*外观检查</w:t>
            </w:r>
          </w:p>
          <w:p>
            <w:pPr>
              <w:snapToGrid w:val="0"/>
              <w:spacing w:line="300" w:lineRule="exact"/>
              <w:jc w:val="center"/>
              <w:rPr>
                <w:sz w:val="24"/>
              </w:rPr>
            </w:pPr>
            <w:r>
              <w:rPr>
                <w:sz w:val="24"/>
              </w:rPr>
              <w:t>记录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外观检查记录信息全面（必须包含排放控制装置信息），本地记录和报送一致且符合标准要求</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5、6和附录F</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7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*信息显示</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至少含功率、扭矩、车速等过程曲线，但不包含排气测量过程信息</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11"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3.6</w:t>
            </w:r>
          </w:p>
        </w:tc>
        <w:tc>
          <w:tcPr>
            <w:tcW w:w="1426" w:type="dxa"/>
            <w:vMerge w:val="restart"/>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工控软件（续）</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*检测数据</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排气检验过程数据和检验结果应自动保存和记录，且本地记录与报送内容一致</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B.6和附录G</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88"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设备日常</w:t>
            </w:r>
          </w:p>
          <w:p>
            <w:pPr>
              <w:snapToGrid w:val="0"/>
              <w:spacing w:line="300" w:lineRule="exact"/>
              <w:jc w:val="center"/>
              <w:rPr>
                <w:sz w:val="24"/>
              </w:rPr>
            </w:pPr>
            <w:r>
              <w:rPr>
                <w:sz w:val="24"/>
              </w:rPr>
              <w:t>检查</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NOx分析仪标定、检查和底盘测功机滑行信息，烟度计检查、发动机转速计等其它信息应自动记录和上传，且本地记录与报送信息一致</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GB3847-2018之条款9</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231"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速率控制</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功率扫描过程转鼓速度大于VelMaxHP时，速度变化率小于±0.5km/h/s，转鼓速度低于VelMaxHP时，速度变化率小于±1.0km/ｈ/s。整个测试过程速度变化率均小于±2.0km/h/s</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B.4.2.10和B.4.2.11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5"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转速监控</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整个测试过程中发动机转速和转鼓转速的比值变化不超过±5%，最大轮边功率点的转速处于额定转速的±10%，否则应提示重新测试</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B.4.6.2</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19"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工况测试</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车速稳定至目标车速的±0.5%，稳定3s测量9s时间内的均值</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GB3847-2018之条款B.4.3.5和B.4.3.6</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38"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油门监控</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功率扫描过程中的车速应处于连续下降状况，工况测试过程中的加载功率或扭矩应小于和接近功率扫描相应车速时的加载功率或扭矩，否则应终止测试</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B.4.6.4</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858"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4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 w:val="24"/>
              </w:rPr>
            </w:pP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*软件功能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1.有否底盘测功机的各种滑行功能；2.有否NOx分析仪的单点检查、五点检查功能；3.有否烟度计滤光片检查和“0”点漂移检查功能；4.NO2如使用转化炉转化为NO，应有转化炉转化效率测试功能</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GB3847-2018之条款</w:t>
            </w:r>
          </w:p>
          <w:p>
            <w:pPr>
              <w:snapToGrid w:val="0"/>
              <w:spacing w:line="300" w:lineRule="exact"/>
              <w:jc w:val="center"/>
              <w:rPr>
                <w:sz w:val="24"/>
              </w:rPr>
            </w:pPr>
            <w:r>
              <w:rPr>
                <w:sz w:val="24"/>
              </w:rPr>
              <w:t>附件BB相关内容及附录G之C.6.1</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385"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3.6</w:t>
            </w:r>
          </w:p>
        </w:tc>
        <w:tc>
          <w:tcPr>
            <w:tcW w:w="1426"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工控软件（续）</w:t>
            </w:r>
          </w:p>
        </w:tc>
        <w:tc>
          <w:tcPr>
            <w:tcW w:w="162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锁止功能</w:t>
            </w:r>
          </w:p>
        </w:tc>
        <w:tc>
          <w:tcPr>
            <w:tcW w:w="4304"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rPr>
                <w:sz w:val="24"/>
              </w:rPr>
            </w:pPr>
            <w:r>
              <w:rPr>
                <w:sz w:val="24"/>
              </w:rPr>
              <w:t>1.系统时钟同步和修改自锁控制</w:t>
            </w:r>
          </w:p>
          <w:p>
            <w:pPr>
              <w:snapToGrid w:val="0"/>
              <w:spacing w:line="300" w:lineRule="exact"/>
              <w:rPr>
                <w:sz w:val="24"/>
              </w:rPr>
            </w:pPr>
            <w:r>
              <w:rPr>
                <w:sz w:val="24"/>
              </w:rPr>
              <w:t>2.自检不通过锁止</w:t>
            </w:r>
          </w:p>
          <w:p>
            <w:pPr>
              <w:snapToGrid w:val="0"/>
              <w:spacing w:line="300" w:lineRule="exact"/>
              <w:rPr>
                <w:sz w:val="24"/>
              </w:rPr>
            </w:pPr>
            <w:r>
              <w:rPr>
                <w:sz w:val="24"/>
              </w:rPr>
              <w:t>3.日常检查不通过锁止</w:t>
            </w:r>
          </w:p>
        </w:tc>
        <w:tc>
          <w:tcPr>
            <w:tcW w:w="2830"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GB3847-2018之相关条款</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sz w:val="24"/>
              </w:rPr>
            </w:pPr>
            <w:r>
              <w:rPr>
                <w:sz w:val="24"/>
              </w:rPr>
              <w:t>□符合□不符合</w:t>
            </w:r>
          </w:p>
        </w:tc>
        <w:tc>
          <w:tcPr>
            <w:tcW w:w="1843"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80" w:hRule="atLeast"/>
          <w:jc w:val="center"/>
        </w:trPr>
        <w:tc>
          <w:tcPr>
            <w:tcW w:w="2135"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综合结论</w:t>
            </w:r>
          </w:p>
        </w:tc>
        <w:tc>
          <w:tcPr>
            <w:tcW w:w="12440" w:type="dxa"/>
            <w:gridSpan w:val="5"/>
            <w:tcBorders>
              <w:top w:val="single" w:color="auto" w:sz="4" w:space="0"/>
              <w:left w:val="single" w:color="auto" w:sz="4" w:space="0"/>
              <w:bottom w:val="single" w:color="auto" w:sz="4" w:space="0"/>
              <w:right w:val="single" w:color="auto" w:sz="4" w:space="0"/>
            </w:tcBorders>
            <w:vAlign w:val="center"/>
          </w:tcPr>
          <w:p>
            <w:pPr>
              <w:snapToGrid w:val="0"/>
              <w:spacing w:line="300" w:lineRule="exact"/>
              <w:rPr>
                <w:bCs/>
                <w:sz w:val="24"/>
              </w:rPr>
            </w:pPr>
            <w:r>
              <w:rPr>
                <w:bCs/>
                <w:sz w:val="24"/>
              </w:rPr>
              <w:t>□通过  □不通过，不通过主要原因：</w:t>
            </w:r>
          </w:p>
        </w:tc>
      </w:tr>
    </w:tbl>
    <w:p>
      <w:pPr>
        <w:rPr>
          <w:szCs w:val="21"/>
        </w:rPr>
      </w:pPr>
      <w:r>
        <w:rPr>
          <w:szCs w:val="21"/>
        </w:rPr>
        <w:t>说明：*为必检项，备注则说明不合格项具体内容。</w:t>
      </w:r>
    </w:p>
    <w:p>
      <w:pPr>
        <w:rPr>
          <w:rFonts w:eastAsia="仿宋_GB2312"/>
          <w:sz w:val="24"/>
        </w:rPr>
      </w:pPr>
    </w:p>
    <w:p>
      <w:pPr>
        <w:rPr>
          <w:rFonts w:eastAsia="楷体_GB2312"/>
          <w:sz w:val="24"/>
        </w:rPr>
      </w:pPr>
      <w:r>
        <w:rPr>
          <w:rFonts w:eastAsia="仿宋_GB2312"/>
          <w:sz w:val="24"/>
        </w:rPr>
        <w:t>核查人员（签名）：</w:t>
      </w:r>
    </w:p>
    <w:p>
      <w:pPr>
        <w:rPr>
          <w:rFonts w:eastAsia="楷体_GB2312"/>
          <w:sz w:val="24"/>
        </w:rPr>
      </w:pPr>
    </w:p>
    <w:p>
      <w:pPr>
        <w:spacing w:afterLines="100" w:line="360" w:lineRule="exact"/>
        <w:rPr>
          <w:rFonts w:eastAsia="黑体"/>
          <w:sz w:val="32"/>
          <w:szCs w:val="32"/>
        </w:rPr>
      </w:pPr>
    </w:p>
    <w:p>
      <w:pPr>
        <w:spacing w:afterLines="100" w:line="360" w:lineRule="exact"/>
        <w:rPr>
          <w:rFonts w:eastAsia="黑体"/>
          <w:sz w:val="32"/>
          <w:szCs w:val="32"/>
        </w:rPr>
      </w:pPr>
    </w:p>
    <w:p>
      <w:pPr>
        <w:spacing w:afterLines="100" w:line="360" w:lineRule="exact"/>
        <w:rPr>
          <w:rFonts w:eastAsia="黑体"/>
          <w:sz w:val="32"/>
          <w:szCs w:val="32"/>
        </w:rPr>
      </w:pPr>
    </w:p>
    <w:p>
      <w:pPr>
        <w:spacing w:afterLines="100" w:line="360" w:lineRule="exact"/>
        <w:rPr>
          <w:rFonts w:hint="eastAsia" w:eastAsia="黑体"/>
          <w:sz w:val="32"/>
          <w:szCs w:val="32"/>
        </w:rPr>
      </w:pPr>
    </w:p>
    <w:p>
      <w:pPr>
        <w:spacing w:afterLines="100" w:line="360" w:lineRule="exact"/>
        <w:rPr>
          <w:rFonts w:hint="eastAsia" w:eastAsia="黑体"/>
          <w:sz w:val="32"/>
          <w:szCs w:val="32"/>
        </w:rPr>
      </w:pPr>
    </w:p>
    <w:p>
      <w:pPr>
        <w:spacing w:afterLines="100" w:line="360" w:lineRule="exact"/>
        <w:rPr>
          <w:rFonts w:hint="eastAsia" w:eastAsia="黑体"/>
          <w:sz w:val="32"/>
          <w:szCs w:val="32"/>
        </w:rPr>
      </w:pPr>
    </w:p>
    <w:p>
      <w:pPr>
        <w:spacing w:afterLines="100" w:line="360" w:lineRule="exact"/>
        <w:rPr>
          <w:rFonts w:hint="eastAsia" w:eastAsia="黑体"/>
          <w:sz w:val="32"/>
          <w:szCs w:val="32"/>
        </w:rPr>
      </w:pPr>
    </w:p>
    <w:p>
      <w:pPr>
        <w:spacing w:afterLines="100" w:line="360" w:lineRule="exact"/>
        <w:rPr>
          <w:rFonts w:eastAsia="黑体"/>
          <w:sz w:val="32"/>
          <w:szCs w:val="32"/>
        </w:rPr>
      </w:pPr>
    </w:p>
    <w:p>
      <w:pPr>
        <w:spacing w:afterLines="100" w:line="360" w:lineRule="exact"/>
        <w:rPr>
          <w:rFonts w:eastAsia="黑体"/>
          <w:sz w:val="32"/>
          <w:szCs w:val="32"/>
        </w:rPr>
      </w:pPr>
      <w:r>
        <w:rPr>
          <w:rFonts w:eastAsia="黑体"/>
          <w:sz w:val="32"/>
          <w:szCs w:val="32"/>
        </w:rPr>
        <w:t>附表4</w:t>
      </w:r>
    </w:p>
    <w:p>
      <w:pPr>
        <w:spacing w:afterLines="100" w:line="360" w:lineRule="exact"/>
        <w:jc w:val="center"/>
        <w:rPr>
          <w:b/>
          <w:sz w:val="36"/>
          <w:szCs w:val="36"/>
        </w:rPr>
      </w:pPr>
      <w:r>
        <w:rPr>
          <w:b/>
          <w:sz w:val="36"/>
          <w:szCs w:val="36"/>
        </w:rPr>
        <w:t>标准物质与实际操作检查</w:t>
      </w:r>
    </w:p>
    <w:tbl>
      <w:tblPr>
        <w:tblStyle w:val="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57" w:type="dxa"/>
          <w:bottom w:w="0" w:type="dxa"/>
          <w:right w:w="57" w:type="dxa"/>
        </w:tblCellMar>
      </w:tblPr>
      <w:tblGrid>
        <w:gridCol w:w="709"/>
        <w:gridCol w:w="1580"/>
        <w:gridCol w:w="7668"/>
        <w:gridCol w:w="1880"/>
        <w:gridCol w:w="297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19" w:hRule="atLeast"/>
          <w:tblHeader/>
        </w:trPr>
        <w:tc>
          <w:tcPr>
            <w:tcW w:w="709" w:type="dxa"/>
            <w:tcBorders>
              <w:top w:val="single" w:color="auto" w:sz="4" w:space="0"/>
              <w:left w:val="single" w:color="auto" w:sz="4" w:space="0"/>
              <w:bottom w:val="nil"/>
              <w:right w:val="single" w:color="auto" w:sz="4" w:space="0"/>
            </w:tcBorders>
            <w:vAlign w:val="center"/>
          </w:tcPr>
          <w:p>
            <w:pPr>
              <w:jc w:val="center"/>
              <w:rPr>
                <w:rFonts w:eastAsia="黑体"/>
                <w:bCs/>
                <w:sz w:val="24"/>
              </w:rPr>
            </w:pPr>
            <w:r>
              <w:rPr>
                <w:rFonts w:eastAsia="黑体"/>
                <w:bCs/>
                <w:sz w:val="24"/>
              </w:rPr>
              <w:t>序号</w:t>
            </w:r>
          </w:p>
        </w:tc>
        <w:tc>
          <w:tcPr>
            <w:tcW w:w="9248" w:type="dxa"/>
            <w:gridSpan w:val="2"/>
            <w:tcBorders>
              <w:top w:val="single" w:color="auto" w:sz="4" w:space="0"/>
              <w:left w:val="single" w:color="auto" w:sz="4" w:space="0"/>
              <w:bottom w:val="nil"/>
              <w:right w:val="single" w:color="auto" w:sz="4" w:space="0"/>
            </w:tcBorders>
            <w:vAlign w:val="center"/>
          </w:tcPr>
          <w:p>
            <w:pPr>
              <w:jc w:val="center"/>
              <w:rPr>
                <w:rFonts w:eastAsia="黑体"/>
                <w:bCs/>
                <w:sz w:val="24"/>
              </w:rPr>
            </w:pPr>
            <w:r>
              <w:rPr>
                <w:rFonts w:eastAsia="黑体"/>
                <w:bCs/>
                <w:sz w:val="24"/>
              </w:rPr>
              <w:t>核查项目</w:t>
            </w:r>
          </w:p>
        </w:tc>
        <w:tc>
          <w:tcPr>
            <w:tcW w:w="1880" w:type="dxa"/>
            <w:tcBorders>
              <w:top w:val="single" w:color="auto" w:sz="4" w:space="0"/>
              <w:left w:val="single" w:color="auto" w:sz="4" w:space="0"/>
              <w:bottom w:val="nil"/>
              <w:right w:val="single" w:color="auto" w:sz="4" w:space="0"/>
            </w:tcBorders>
            <w:vAlign w:val="center"/>
          </w:tcPr>
          <w:p>
            <w:pPr>
              <w:jc w:val="center"/>
              <w:rPr>
                <w:rFonts w:eastAsia="黑体"/>
                <w:bCs/>
                <w:sz w:val="24"/>
              </w:rPr>
            </w:pPr>
            <w:r>
              <w:rPr>
                <w:rFonts w:eastAsia="黑体"/>
                <w:bCs/>
                <w:sz w:val="24"/>
              </w:rPr>
              <w:t>核查结果</w:t>
            </w:r>
          </w:p>
        </w:tc>
        <w:tc>
          <w:tcPr>
            <w:tcW w:w="2977" w:type="dxa"/>
            <w:tcBorders>
              <w:top w:val="single" w:color="auto" w:sz="4" w:space="0"/>
              <w:left w:val="single" w:color="auto" w:sz="4" w:space="0"/>
              <w:bottom w:val="nil"/>
              <w:right w:val="single" w:color="auto" w:sz="4" w:space="0"/>
            </w:tcBorders>
            <w:vAlign w:val="center"/>
          </w:tcPr>
          <w:p>
            <w:pPr>
              <w:jc w:val="center"/>
              <w:rPr>
                <w:rFonts w:eastAsia="黑体"/>
                <w:bCs/>
                <w:sz w:val="24"/>
              </w:rPr>
            </w:pPr>
            <w:r>
              <w:rPr>
                <w:rFonts w:eastAsia="黑体"/>
                <w:bCs/>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850"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4.1</w:t>
            </w:r>
          </w:p>
        </w:tc>
        <w:tc>
          <w:tcPr>
            <w:tcW w:w="1580"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标准物质</w:t>
            </w:r>
          </w:p>
        </w:tc>
        <w:tc>
          <w:tcPr>
            <w:tcW w:w="7668" w:type="dxa"/>
            <w:tcBorders>
              <w:top w:val="single" w:color="auto" w:sz="4" w:space="0"/>
              <w:left w:val="single" w:color="auto" w:sz="4" w:space="0"/>
              <w:bottom w:val="single" w:color="auto" w:sz="4" w:space="0"/>
              <w:right w:val="single" w:color="auto" w:sz="4" w:space="0"/>
            </w:tcBorders>
            <w:vAlign w:val="center"/>
          </w:tcPr>
          <w:p>
            <w:pPr>
              <w:spacing w:line="0" w:lineRule="atLeast"/>
              <w:rPr>
                <w:bCs/>
                <w:sz w:val="24"/>
              </w:rPr>
            </w:pPr>
            <w:r>
              <w:rPr>
                <w:bCs/>
                <w:sz w:val="24"/>
              </w:rPr>
              <w:t>“零气”、低标气、高标气是否符合标准要求，滤光片配备是否符合标准与管理要求，是否贴有必要的标识信息，是否处于有效期内，标准物质的存放是否规范</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1134"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sz w:val="24"/>
              </w:rPr>
              <w:t>4.2</w:t>
            </w:r>
          </w:p>
        </w:tc>
        <w:tc>
          <w:tcPr>
            <w:tcW w:w="1580" w:type="dxa"/>
            <w:tcBorders>
              <w:top w:val="single" w:color="auto" w:sz="4" w:space="0"/>
              <w:left w:val="single" w:color="auto" w:sz="4" w:space="0"/>
              <w:bottom w:val="single" w:color="auto" w:sz="4" w:space="0"/>
              <w:right w:val="single" w:color="auto" w:sz="4" w:space="0"/>
            </w:tcBorders>
            <w:vAlign w:val="center"/>
          </w:tcPr>
          <w:p>
            <w:pPr>
              <w:jc w:val="center"/>
              <w:rPr>
                <w:bCs/>
                <w:sz w:val="24"/>
              </w:rPr>
            </w:pPr>
            <w:r>
              <w:rPr>
                <w:bCs/>
                <w:sz w:val="24"/>
              </w:rPr>
              <w:t>仪器操作与环境参数仪</w:t>
            </w:r>
          </w:p>
        </w:tc>
        <w:tc>
          <w:tcPr>
            <w:tcW w:w="7668" w:type="dxa"/>
            <w:tcBorders>
              <w:top w:val="single" w:color="auto" w:sz="4" w:space="0"/>
              <w:left w:val="single" w:color="auto" w:sz="4" w:space="0"/>
              <w:bottom w:val="single" w:color="auto" w:sz="4" w:space="0"/>
              <w:right w:val="single" w:color="auto" w:sz="4" w:space="0"/>
            </w:tcBorders>
            <w:vAlign w:val="center"/>
          </w:tcPr>
          <w:p>
            <w:pPr>
              <w:spacing w:line="0" w:lineRule="atLeast"/>
              <w:rPr>
                <w:bCs/>
                <w:sz w:val="24"/>
              </w:rPr>
            </w:pPr>
            <w:r>
              <w:rPr>
                <w:bCs/>
                <w:sz w:val="24"/>
              </w:rPr>
              <w:t>检验员对仪器的操控是否规范、熟练，是否按管理要求及时对环境参数进行校正，环境参数仪的安装位置是否能表征测试车辆的环境状况（含仪器配备的环境参数仪和校正用常规环境参数测量仪）</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798"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4.3</w:t>
            </w:r>
          </w:p>
        </w:tc>
        <w:tc>
          <w:tcPr>
            <w:tcW w:w="158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外观检查</w:t>
            </w:r>
          </w:p>
        </w:tc>
        <w:tc>
          <w:tcPr>
            <w:tcW w:w="7668" w:type="dxa"/>
            <w:tcBorders>
              <w:top w:val="single" w:color="auto" w:sz="4" w:space="0"/>
              <w:left w:val="single" w:color="auto" w:sz="4" w:space="0"/>
              <w:bottom w:val="single" w:color="auto" w:sz="4" w:space="0"/>
              <w:right w:val="single" w:color="auto" w:sz="4" w:space="0"/>
            </w:tcBorders>
            <w:vAlign w:val="center"/>
          </w:tcPr>
          <w:p>
            <w:pPr>
              <w:spacing w:line="0" w:lineRule="atLeast"/>
              <w:rPr>
                <w:sz w:val="24"/>
              </w:rPr>
            </w:pPr>
            <w:r>
              <w:rPr>
                <w:sz w:val="24"/>
              </w:rPr>
              <w:t>检验员是否认真核实车证一致，认真查找和记录车辆排放控制装置，是否对车辆的性能进行了认真预检</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766"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4.4</w:t>
            </w:r>
          </w:p>
        </w:tc>
        <w:tc>
          <w:tcPr>
            <w:tcW w:w="1580"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采样探头</w:t>
            </w:r>
          </w:p>
        </w:tc>
        <w:tc>
          <w:tcPr>
            <w:tcW w:w="7668" w:type="dxa"/>
            <w:tcBorders>
              <w:top w:val="single" w:color="auto" w:sz="4" w:space="0"/>
              <w:left w:val="single" w:color="auto" w:sz="4" w:space="0"/>
              <w:bottom w:val="single" w:color="auto" w:sz="4" w:space="0"/>
              <w:right w:val="single" w:color="auto" w:sz="4" w:space="0"/>
            </w:tcBorders>
            <w:vAlign w:val="center"/>
          </w:tcPr>
          <w:p>
            <w:pPr>
              <w:spacing w:line="0" w:lineRule="atLeast"/>
              <w:rPr>
                <w:sz w:val="24"/>
              </w:rPr>
            </w:pPr>
            <w:r>
              <w:rPr>
                <w:sz w:val="24"/>
              </w:rPr>
              <w:t>双排气管车辆排气测量是否使用了Y型取样管，Y型采样管是否配备有符合要求的采样气路控制开关（或快接头）</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424"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4.5</w:t>
            </w:r>
          </w:p>
        </w:tc>
        <w:tc>
          <w:tcPr>
            <w:tcW w:w="1580"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0"/>
              <w:rPr>
                <w:sz w:val="24"/>
              </w:rPr>
            </w:pPr>
            <w:r>
              <w:rPr>
                <w:sz w:val="24"/>
              </w:rPr>
              <w:t>发动机转速计</w:t>
            </w:r>
          </w:p>
        </w:tc>
        <w:tc>
          <w:tcPr>
            <w:tcW w:w="7668" w:type="dxa"/>
            <w:tcBorders>
              <w:top w:val="single" w:color="auto" w:sz="4" w:space="0"/>
              <w:left w:val="single" w:color="auto" w:sz="4" w:space="0"/>
              <w:bottom w:val="single" w:color="auto" w:sz="4" w:space="0"/>
              <w:right w:val="single" w:color="auto" w:sz="4" w:space="0"/>
            </w:tcBorders>
            <w:vAlign w:val="center"/>
          </w:tcPr>
          <w:p>
            <w:pPr>
              <w:snapToGrid w:val="0"/>
              <w:outlineLvl w:val="0"/>
              <w:rPr>
                <w:sz w:val="24"/>
              </w:rPr>
            </w:pPr>
            <w:r>
              <w:rPr>
                <w:sz w:val="24"/>
              </w:rPr>
              <w:t>发动机转速计采样探头安装是否符合规范要求</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794"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4.6</w:t>
            </w:r>
          </w:p>
        </w:tc>
        <w:tc>
          <w:tcPr>
            <w:tcW w:w="1580"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0"/>
              <w:rPr>
                <w:sz w:val="24"/>
              </w:rPr>
            </w:pPr>
            <w:r>
              <w:rPr>
                <w:sz w:val="24"/>
              </w:rPr>
              <w:t>OBD检查</w:t>
            </w:r>
          </w:p>
        </w:tc>
        <w:tc>
          <w:tcPr>
            <w:tcW w:w="7668" w:type="dxa"/>
            <w:tcBorders>
              <w:top w:val="single" w:color="auto" w:sz="4" w:space="0"/>
              <w:left w:val="single" w:color="auto" w:sz="4" w:space="0"/>
              <w:bottom w:val="single" w:color="auto" w:sz="4" w:space="0"/>
              <w:right w:val="single" w:color="auto" w:sz="4" w:space="0"/>
            </w:tcBorders>
            <w:vAlign w:val="center"/>
          </w:tcPr>
          <w:p>
            <w:pPr>
              <w:snapToGrid w:val="0"/>
              <w:outlineLvl w:val="0"/>
              <w:rPr>
                <w:sz w:val="24"/>
              </w:rPr>
            </w:pPr>
            <w:r>
              <w:rPr>
                <w:sz w:val="24"/>
              </w:rPr>
              <w:t>对OBD通讯异常车辆应进行反复确认，当就绪状况超过2项不正常时应对车辆进行了必要的行驶预热后再进行检查，排气测试时应将OBD读码器连接进行测试</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627"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4.7</w:t>
            </w:r>
          </w:p>
        </w:tc>
        <w:tc>
          <w:tcPr>
            <w:tcW w:w="1580"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0"/>
              <w:rPr>
                <w:sz w:val="24"/>
              </w:rPr>
            </w:pPr>
            <w:r>
              <w:rPr>
                <w:sz w:val="24"/>
              </w:rPr>
              <w:t>检测操作</w:t>
            </w:r>
          </w:p>
        </w:tc>
        <w:tc>
          <w:tcPr>
            <w:tcW w:w="7668" w:type="dxa"/>
            <w:tcBorders>
              <w:top w:val="single" w:color="auto" w:sz="4" w:space="0"/>
              <w:left w:val="single" w:color="auto" w:sz="4" w:space="0"/>
              <w:bottom w:val="single" w:color="auto" w:sz="4" w:space="0"/>
              <w:right w:val="single" w:color="auto" w:sz="4" w:space="0"/>
            </w:tcBorders>
            <w:vAlign w:val="center"/>
          </w:tcPr>
          <w:p>
            <w:pPr>
              <w:snapToGrid w:val="0"/>
              <w:outlineLvl w:val="0"/>
              <w:rPr>
                <w:sz w:val="24"/>
              </w:rPr>
            </w:pPr>
            <w:r>
              <w:rPr>
                <w:sz w:val="24"/>
              </w:rPr>
              <w:t>车辆操控，包括测试挡位选用、车速与发动机转速控制、油门控制等是否规范</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551" w:hRule="atLeast"/>
        </w:trPr>
        <w:tc>
          <w:tcPr>
            <w:tcW w:w="709"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4.8</w:t>
            </w:r>
          </w:p>
        </w:tc>
        <w:tc>
          <w:tcPr>
            <w:tcW w:w="1580" w:type="dxa"/>
            <w:tcBorders>
              <w:top w:val="single" w:color="auto" w:sz="4" w:space="0"/>
              <w:left w:val="single" w:color="auto" w:sz="4" w:space="0"/>
              <w:bottom w:val="single" w:color="auto" w:sz="4" w:space="0"/>
              <w:right w:val="single" w:color="auto" w:sz="4" w:space="0"/>
            </w:tcBorders>
            <w:vAlign w:val="center"/>
          </w:tcPr>
          <w:p>
            <w:pPr>
              <w:snapToGrid w:val="0"/>
              <w:jc w:val="center"/>
              <w:outlineLvl w:val="0"/>
              <w:rPr>
                <w:sz w:val="24"/>
              </w:rPr>
            </w:pPr>
            <w:r>
              <w:rPr>
                <w:sz w:val="24"/>
              </w:rPr>
              <w:t>重复性试验</w:t>
            </w:r>
          </w:p>
        </w:tc>
        <w:tc>
          <w:tcPr>
            <w:tcW w:w="7668" w:type="dxa"/>
            <w:tcBorders>
              <w:top w:val="single" w:color="auto" w:sz="4" w:space="0"/>
              <w:left w:val="single" w:color="auto" w:sz="4" w:space="0"/>
              <w:bottom w:val="single" w:color="auto" w:sz="4" w:space="0"/>
              <w:right w:val="single" w:color="auto" w:sz="4" w:space="0"/>
            </w:tcBorders>
            <w:vAlign w:val="center"/>
          </w:tcPr>
          <w:p>
            <w:pPr>
              <w:snapToGrid w:val="0"/>
              <w:outlineLvl w:val="0"/>
              <w:rPr>
                <w:sz w:val="24"/>
              </w:rPr>
            </w:pPr>
            <w:r>
              <w:rPr>
                <w:sz w:val="24"/>
              </w:rPr>
              <w:t>由同一驾驶员操作同一辆车在同一设备上重复试验三次，比较测量误差情况</w:t>
            </w:r>
          </w:p>
        </w:tc>
        <w:tc>
          <w:tcPr>
            <w:tcW w:w="1880" w:type="dxa"/>
            <w:tcBorders>
              <w:top w:val="single" w:color="auto" w:sz="4" w:space="0"/>
              <w:left w:val="single" w:color="auto" w:sz="4" w:space="0"/>
              <w:bottom w:val="single" w:color="auto" w:sz="4" w:space="0"/>
              <w:right w:val="single" w:color="auto" w:sz="4" w:space="0"/>
            </w:tcBorders>
            <w:vAlign w:val="center"/>
          </w:tcPr>
          <w:p>
            <w:pPr>
              <w:rPr>
                <w:bCs/>
                <w:sz w:val="24"/>
              </w:rPr>
            </w:pPr>
            <w:r>
              <w:rPr>
                <w:bCs/>
                <w:sz w:val="24"/>
              </w:rPr>
              <w:t>□符合□不符合</w:t>
            </w:r>
          </w:p>
        </w:tc>
        <w:tc>
          <w:tcPr>
            <w:tcW w:w="2977" w:type="dxa"/>
            <w:tcBorders>
              <w:top w:val="single" w:color="auto" w:sz="4" w:space="0"/>
              <w:left w:val="single" w:color="auto" w:sz="4" w:space="0"/>
              <w:bottom w:val="single" w:color="auto" w:sz="4" w:space="0"/>
              <w:right w:val="single" w:color="auto" w:sz="4" w:space="0"/>
            </w:tcBorders>
            <w:vAlign w:val="center"/>
          </w:tcPr>
          <w:p>
            <w:pPr>
              <w:snapToGrid w:val="0"/>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57" w:type="dxa"/>
            <w:bottom w:w="0" w:type="dxa"/>
            <w:right w:w="57" w:type="dxa"/>
          </w:tblCellMar>
        </w:tblPrEx>
        <w:trPr>
          <w:trHeight w:val="551" w:hRule="atLeast"/>
        </w:trPr>
        <w:tc>
          <w:tcPr>
            <w:tcW w:w="2289"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sz w:val="24"/>
              </w:rPr>
            </w:pPr>
            <w:r>
              <w:rPr>
                <w:sz w:val="24"/>
              </w:rPr>
              <w:t>综合结论</w:t>
            </w:r>
          </w:p>
        </w:tc>
        <w:tc>
          <w:tcPr>
            <w:tcW w:w="12525" w:type="dxa"/>
            <w:gridSpan w:val="3"/>
            <w:tcBorders>
              <w:top w:val="single" w:color="auto" w:sz="4" w:space="0"/>
              <w:left w:val="single" w:color="auto" w:sz="4" w:space="0"/>
              <w:bottom w:val="single" w:color="auto" w:sz="4" w:space="0"/>
              <w:right w:val="single" w:color="auto" w:sz="4" w:space="0"/>
            </w:tcBorders>
            <w:vAlign w:val="center"/>
          </w:tcPr>
          <w:p>
            <w:pPr>
              <w:snapToGrid w:val="0"/>
              <w:spacing w:line="300" w:lineRule="exact"/>
              <w:rPr>
                <w:bCs/>
                <w:sz w:val="24"/>
              </w:rPr>
            </w:pPr>
            <w:r>
              <w:rPr>
                <w:bCs/>
                <w:sz w:val="24"/>
              </w:rPr>
              <w:t>□通过  □不通过，不通过主要原因：</w:t>
            </w:r>
          </w:p>
          <w:p>
            <w:pPr>
              <w:snapToGrid w:val="0"/>
              <w:spacing w:line="300" w:lineRule="exact"/>
              <w:rPr>
                <w:sz w:val="24"/>
              </w:rPr>
            </w:pPr>
          </w:p>
        </w:tc>
      </w:tr>
    </w:tbl>
    <w:p>
      <w:pPr>
        <w:rPr>
          <w:rFonts w:eastAsia="楷体_GB2312"/>
          <w:sz w:val="24"/>
        </w:rPr>
      </w:pPr>
      <w:r>
        <w:rPr>
          <w:rFonts w:eastAsia="楷体_GB2312"/>
          <w:sz w:val="24"/>
        </w:rPr>
        <w:t>核查人员（签名）：</w:t>
      </w:r>
    </w:p>
    <w:p>
      <w:pPr>
        <w:spacing w:line="590" w:lineRule="exact"/>
        <w:rPr>
          <w:rFonts w:eastAsia="黑体"/>
          <w:sz w:val="32"/>
          <w:szCs w:val="32"/>
        </w:rPr>
        <w:sectPr>
          <w:pgSz w:w="16838" w:h="11906" w:orient="landscape"/>
          <w:pgMar w:top="1418" w:right="1134" w:bottom="1134" w:left="1134" w:header="1134" w:footer="1134" w:gutter="0"/>
          <w:cols w:space="720" w:num="1"/>
          <w:docGrid w:type="linesAndChars" w:linePitch="312" w:charSpace="0"/>
        </w:sectPr>
      </w:pPr>
    </w:p>
    <w:p>
      <w:pPr>
        <w:spacing w:line="590" w:lineRule="exact"/>
        <w:rPr>
          <w:rFonts w:eastAsia="黑体"/>
          <w:sz w:val="32"/>
          <w:szCs w:val="32"/>
        </w:rPr>
      </w:pPr>
      <w:r>
        <w:rPr>
          <w:rFonts w:eastAsia="黑体"/>
          <w:sz w:val="32"/>
          <w:szCs w:val="32"/>
        </w:rPr>
        <w:t>附件2</w:t>
      </w:r>
    </w:p>
    <w:p>
      <w:pPr>
        <w:spacing w:line="590" w:lineRule="exact"/>
        <w:rPr>
          <w:rFonts w:eastAsia="黑体"/>
        </w:rPr>
      </w:pPr>
    </w:p>
    <w:p>
      <w:pPr>
        <w:adjustRightInd w:val="0"/>
        <w:snapToGrid w:val="0"/>
        <w:spacing w:line="590" w:lineRule="exact"/>
        <w:jc w:val="center"/>
        <w:rPr>
          <w:rFonts w:eastAsia="方正小标宋简体"/>
          <w:bCs/>
          <w:sz w:val="44"/>
          <w:szCs w:val="44"/>
        </w:rPr>
      </w:pPr>
      <w:r>
        <w:rPr>
          <w:rFonts w:eastAsia="方正小标宋简体"/>
          <w:bCs/>
          <w:sz w:val="44"/>
          <w:szCs w:val="44"/>
        </w:rPr>
        <w:t>广州市机动车排气检验机构</w:t>
      </w:r>
    </w:p>
    <w:p>
      <w:pPr>
        <w:adjustRightInd w:val="0"/>
        <w:snapToGrid w:val="0"/>
        <w:spacing w:line="590" w:lineRule="exact"/>
        <w:jc w:val="center"/>
        <w:rPr>
          <w:rFonts w:eastAsia="方正小标宋简体"/>
          <w:bCs/>
          <w:sz w:val="44"/>
          <w:szCs w:val="44"/>
        </w:rPr>
      </w:pPr>
      <w:r>
        <w:rPr>
          <w:rFonts w:eastAsia="方正小标宋简体"/>
          <w:bCs/>
          <w:sz w:val="44"/>
          <w:szCs w:val="44"/>
        </w:rPr>
        <w:t>联网信息表</w:t>
      </w:r>
    </w:p>
    <w:p>
      <w:pPr>
        <w:adjustRightInd w:val="0"/>
        <w:snapToGrid w:val="0"/>
        <w:spacing w:line="590" w:lineRule="exact"/>
        <w:rPr>
          <w:b/>
        </w:rPr>
      </w:pPr>
    </w:p>
    <w:p>
      <w:pPr>
        <w:adjustRightInd w:val="0"/>
        <w:snapToGrid w:val="0"/>
        <w:spacing w:line="590" w:lineRule="exact"/>
        <w:rPr>
          <w:b/>
        </w:rPr>
      </w:pPr>
    </w:p>
    <w:p>
      <w:pPr>
        <w:adjustRightInd w:val="0"/>
        <w:snapToGrid w:val="0"/>
        <w:spacing w:line="590" w:lineRule="exact"/>
        <w:rPr>
          <w:rFonts w:eastAsia="仿宋_GB2312"/>
          <w:b/>
          <w:sz w:val="32"/>
          <w:szCs w:val="32"/>
        </w:rPr>
      </w:pPr>
    </w:p>
    <w:p>
      <w:pPr>
        <w:adjustRightInd w:val="0"/>
        <w:snapToGrid w:val="0"/>
        <w:spacing w:line="590" w:lineRule="exact"/>
        <w:ind w:firstLine="960" w:firstLineChars="300"/>
        <w:rPr>
          <w:rFonts w:eastAsia="仿宋_GB2312"/>
          <w:sz w:val="32"/>
          <w:szCs w:val="32"/>
        </w:rPr>
      </w:pPr>
    </w:p>
    <w:p>
      <w:pPr>
        <w:adjustRightInd w:val="0"/>
        <w:snapToGrid w:val="0"/>
        <w:spacing w:line="590" w:lineRule="exact"/>
        <w:ind w:firstLine="960" w:firstLineChars="300"/>
        <w:rPr>
          <w:rFonts w:eastAsia="仿宋_GB2312"/>
          <w:sz w:val="32"/>
          <w:szCs w:val="32"/>
        </w:rPr>
      </w:pPr>
    </w:p>
    <w:p>
      <w:pPr>
        <w:adjustRightInd w:val="0"/>
        <w:snapToGrid w:val="0"/>
        <w:spacing w:line="590" w:lineRule="exact"/>
        <w:ind w:firstLine="960" w:firstLineChars="300"/>
        <w:rPr>
          <w:rFonts w:eastAsia="仿宋_GB2312"/>
          <w:sz w:val="32"/>
          <w:szCs w:val="32"/>
        </w:rPr>
      </w:pPr>
    </w:p>
    <w:p>
      <w:pPr>
        <w:adjustRightInd w:val="0"/>
        <w:snapToGrid w:val="0"/>
        <w:spacing w:line="590" w:lineRule="exact"/>
        <w:ind w:firstLine="960" w:firstLineChars="300"/>
        <w:rPr>
          <w:rFonts w:eastAsia="仿宋_GB2312"/>
          <w:sz w:val="32"/>
          <w:szCs w:val="32"/>
        </w:rPr>
      </w:pPr>
    </w:p>
    <w:p>
      <w:pPr>
        <w:adjustRightInd w:val="0"/>
        <w:snapToGrid w:val="0"/>
        <w:spacing w:line="590" w:lineRule="exact"/>
        <w:ind w:firstLine="960" w:firstLineChars="300"/>
        <w:rPr>
          <w:rFonts w:eastAsia="仿宋_GB2312"/>
          <w:sz w:val="32"/>
          <w:szCs w:val="32"/>
        </w:rPr>
      </w:pP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黑体"/>
          <w:sz w:val="32"/>
          <w:szCs w:val="32"/>
        </w:rPr>
      </w:pPr>
      <w:r>
        <w:rPr>
          <w:rFonts w:eastAsia="黑体"/>
          <w:sz w:val="32"/>
          <w:szCs w:val="32"/>
        </w:rPr>
        <w:t>申  请  单  位：</w:t>
      </w: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仿宋_GB2312"/>
          <w:sz w:val="32"/>
          <w:szCs w:val="32"/>
        </w:rPr>
      </w:pPr>
      <w:r>
        <w:rPr>
          <w:rFonts w:eastAsia="黑体"/>
          <w:sz w:val="32"/>
          <w:szCs w:val="32"/>
        </w:rPr>
        <w:t>所  在  地  区：</w:t>
      </w:r>
      <w:r>
        <w:rPr>
          <w:rFonts w:eastAsia="仿宋_GB2312"/>
          <w:sz w:val="32"/>
          <w:szCs w:val="32"/>
        </w:rPr>
        <w:t xml:space="preserve">    市      区</w:t>
      </w: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仿宋_GB2312"/>
          <w:sz w:val="32"/>
          <w:szCs w:val="32"/>
        </w:rPr>
      </w:pPr>
      <w:r>
        <w:rPr>
          <w:rFonts w:eastAsia="黑体"/>
          <w:sz w:val="32"/>
          <w:szCs w:val="32"/>
        </w:rPr>
        <w:t>填  报  日  期</w:t>
      </w:r>
      <w:r>
        <w:rPr>
          <w:rFonts w:eastAsia="仿宋_GB2312"/>
          <w:sz w:val="32"/>
          <w:szCs w:val="32"/>
        </w:rPr>
        <w:t>：    年      月       日</w:t>
      </w:r>
    </w:p>
    <w:p>
      <w:pPr>
        <w:spacing w:line="590" w:lineRule="exact"/>
        <w:jc w:val="center"/>
        <w:rPr>
          <w:rFonts w:eastAsia="黑体"/>
          <w:sz w:val="32"/>
          <w:szCs w:val="32"/>
        </w:rPr>
      </w:pPr>
    </w:p>
    <w:p>
      <w:pPr>
        <w:spacing w:line="590" w:lineRule="exact"/>
        <w:jc w:val="center"/>
        <w:rPr>
          <w:rFonts w:eastAsia="黑体"/>
          <w:sz w:val="32"/>
          <w:szCs w:val="32"/>
        </w:rPr>
      </w:pPr>
    </w:p>
    <w:p>
      <w:pPr>
        <w:spacing w:line="590" w:lineRule="exact"/>
        <w:jc w:val="center"/>
        <w:rPr>
          <w:rFonts w:eastAsia="黑体"/>
          <w:sz w:val="32"/>
          <w:szCs w:val="32"/>
        </w:rPr>
      </w:pPr>
      <w:r>
        <w:rPr>
          <w:rFonts w:eastAsia="黑体"/>
          <w:sz w:val="32"/>
          <w:szCs w:val="32"/>
        </w:rPr>
        <w:t>填表说明</w:t>
      </w:r>
    </w:p>
    <w:p>
      <w:pPr>
        <w:spacing w:line="590" w:lineRule="exact"/>
        <w:rPr>
          <w:rFonts w:eastAsia="仿宋_GB2312"/>
          <w:sz w:val="32"/>
          <w:szCs w:val="32"/>
        </w:rPr>
      </w:pPr>
    </w:p>
    <w:p>
      <w:pPr>
        <w:spacing w:line="590" w:lineRule="exact"/>
        <w:ind w:firstLine="640" w:firstLineChars="200"/>
        <w:rPr>
          <w:rFonts w:eastAsia="仿宋_GB2312"/>
          <w:sz w:val="32"/>
          <w:szCs w:val="32"/>
        </w:rPr>
      </w:pPr>
      <w:r>
        <w:rPr>
          <w:rFonts w:eastAsia="仿宋_GB2312"/>
          <w:sz w:val="32"/>
          <w:szCs w:val="32"/>
        </w:rPr>
        <w:t>一、本表填写一份，盖章有效。</w:t>
      </w:r>
    </w:p>
    <w:p>
      <w:pPr>
        <w:spacing w:line="590" w:lineRule="exact"/>
        <w:ind w:firstLine="640" w:firstLineChars="200"/>
        <w:rPr>
          <w:rFonts w:eastAsia="仿宋_GB2312"/>
          <w:sz w:val="32"/>
          <w:szCs w:val="32"/>
        </w:rPr>
      </w:pPr>
      <w:r>
        <w:rPr>
          <w:rFonts w:eastAsia="仿宋_GB2312"/>
          <w:sz w:val="32"/>
          <w:szCs w:val="32"/>
        </w:rPr>
        <w:t>二、登记单位要如实逐项填报有关情况，不得弄虚作假。</w:t>
      </w:r>
    </w:p>
    <w:p>
      <w:pPr>
        <w:spacing w:line="590" w:lineRule="exact"/>
        <w:ind w:firstLine="640" w:firstLineChars="200"/>
        <w:rPr>
          <w:rFonts w:eastAsia="仿宋_GB2312"/>
          <w:sz w:val="32"/>
          <w:szCs w:val="32"/>
        </w:rPr>
      </w:pPr>
      <w:r>
        <w:rPr>
          <w:rFonts w:eastAsia="仿宋_GB2312"/>
          <w:sz w:val="32"/>
          <w:szCs w:val="32"/>
        </w:rPr>
        <w:t>三、封面“登记单位”一栏须填写单位全称，并加盖本单位公章，单位名称要与所盖公章一致。</w:t>
      </w:r>
    </w:p>
    <w:p>
      <w:pPr>
        <w:spacing w:line="590" w:lineRule="exact"/>
        <w:ind w:firstLine="640" w:firstLineChars="200"/>
        <w:rPr>
          <w:rFonts w:eastAsia="仿宋_GB2312"/>
          <w:sz w:val="32"/>
          <w:szCs w:val="32"/>
        </w:rPr>
      </w:pPr>
      <w:r>
        <w:rPr>
          <w:rFonts w:eastAsia="仿宋_GB2312"/>
          <w:sz w:val="32"/>
          <w:szCs w:val="32"/>
        </w:rPr>
        <w:t>四、“单位地址”、“主要业务范围”、“法定代表人”、“注册号”、“经济类型”、“成立时间”等按工商登记信息对应填写。</w:t>
      </w:r>
    </w:p>
    <w:p>
      <w:pPr>
        <w:spacing w:line="590" w:lineRule="exact"/>
        <w:ind w:firstLine="640" w:firstLineChars="200"/>
        <w:rPr>
          <w:rFonts w:eastAsia="仿宋_GB2312"/>
          <w:sz w:val="32"/>
          <w:szCs w:val="32"/>
        </w:rPr>
      </w:pPr>
      <w:r>
        <w:rPr>
          <w:rFonts w:eastAsia="仿宋_GB2312"/>
          <w:sz w:val="32"/>
          <w:szCs w:val="32"/>
        </w:rPr>
        <w:t>五、“单位性质”一栏对应填写“安检”或“综检”。</w:t>
      </w:r>
    </w:p>
    <w:p>
      <w:pPr>
        <w:spacing w:line="590" w:lineRule="exact"/>
        <w:ind w:firstLine="640" w:firstLineChars="200"/>
        <w:rPr>
          <w:rFonts w:eastAsia="仿宋_GB2312"/>
          <w:sz w:val="32"/>
          <w:szCs w:val="32"/>
        </w:rPr>
      </w:pPr>
      <w:r>
        <w:rPr>
          <w:rFonts w:eastAsia="仿宋_GB2312"/>
          <w:sz w:val="32"/>
          <w:szCs w:val="32"/>
        </w:rPr>
        <w:t>六、“职工概况”按行政职务、技术职务的先后顺序填写，应包括行政负责人（正、副职）、授权签字人、技术负责人、质量负责人、检测人员等主要信息。</w:t>
      </w:r>
    </w:p>
    <w:p>
      <w:pPr>
        <w:spacing w:line="590" w:lineRule="exact"/>
        <w:ind w:firstLine="640" w:firstLineChars="200"/>
        <w:rPr>
          <w:rFonts w:eastAsia="仿宋_GB2312"/>
          <w:sz w:val="32"/>
          <w:szCs w:val="32"/>
        </w:rPr>
      </w:pPr>
      <w:r>
        <w:rPr>
          <w:rFonts w:eastAsia="仿宋_GB2312"/>
          <w:sz w:val="32"/>
          <w:szCs w:val="32"/>
        </w:rPr>
        <w:t>七、“检验范围”一栏对应填写“汽油车”、“柴油车”；“检测方法”一栏对应填写“简易瞬态工况法、双怠速法、加载减速工况法、自由加速法”等；执行标准填写标准编号。</w:t>
      </w:r>
    </w:p>
    <w:p>
      <w:pPr>
        <w:spacing w:line="590" w:lineRule="exact"/>
        <w:ind w:firstLine="640" w:firstLineChars="200"/>
        <w:rPr>
          <w:rFonts w:eastAsia="仿宋_GB2312"/>
          <w:sz w:val="32"/>
          <w:szCs w:val="32"/>
        </w:rPr>
      </w:pPr>
      <w:r>
        <w:rPr>
          <w:rFonts w:eastAsia="仿宋_GB2312"/>
          <w:sz w:val="32"/>
          <w:szCs w:val="32"/>
        </w:rPr>
        <w:t>八、“主要设备概况”应填写所有在用检测设备的概况。</w:t>
      </w:r>
    </w:p>
    <w:p>
      <w:pPr>
        <w:spacing w:line="590" w:lineRule="exact"/>
        <w:ind w:firstLine="640" w:firstLineChars="200"/>
        <w:rPr>
          <w:rFonts w:eastAsia="仿宋_GB2312"/>
          <w:sz w:val="32"/>
          <w:szCs w:val="32"/>
        </w:rPr>
      </w:pPr>
      <w:r>
        <w:rPr>
          <w:rFonts w:eastAsia="仿宋_GB2312"/>
          <w:sz w:val="32"/>
          <w:szCs w:val="32"/>
        </w:rPr>
        <w:t>九、设备的“主要参数”一栏中，应对应填写：（一）底盘测功机：最大吸收功率、滚筒直径、最大承载质量等有关参数；（二）五气分析仪：量程范围；（三）流量分析仪：名义流量值、温度、压力等有关参数；（四）烟度计：光吸收比、光吸收系数等有关参数；（五）转速计：转速量程范围。</w:t>
      </w:r>
    </w:p>
    <w:p>
      <w:pPr>
        <w:spacing w:line="590" w:lineRule="exact"/>
        <w:ind w:firstLine="640" w:firstLineChars="200"/>
        <w:rPr>
          <w:rFonts w:eastAsia="仿宋_GB2312"/>
          <w:sz w:val="32"/>
          <w:szCs w:val="32"/>
        </w:rPr>
      </w:pPr>
      <w:r>
        <w:rPr>
          <w:rFonts w:eastAsia="仿宋_GB2312"/>
          <w:sz w:val="32"/>
          <w:szCs w:val="32"/>
        </w:rPr>
        <w:t>十、表中栏目不足者可另加附页。</w:t>
      </w:r>
    </w:p>
    <w:p>
      <w:pPr>
        <w:spacing w:line="20" w:lineRule="exact"/>
        <w:rPr>
          <w:rFonts w:eastAsia="黑体"/>
          <w:bCs/>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883"/>
        <w:gridCol w:w="34"/>
        <w:gridCol w:w="984"/>
        <w:gridCol w:w="666"/>
        <w:gridCol w:w="51"/>
        <w:gridCol w:w="1137"/>
        <w:gridCol w:w="15"/>
        <w:gridCol w:w="124"/>
        <w:gridCol w:w="1282"/>
        <w:gridCol w:w="105"/>
        <w:gridCol w:w="670"/>
        <w:gridCol w:w="726"/>
        <w:gridCol w:w="378"/>
        <w:gridCol w:w="1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kern w:val="40"/>
                <w:sz w:val="24"/>
              </w:rPr>
            </w:pPr>
            <w:r>
              <w:rPr>
                <w:rFonts w:eastAsia="黑体"/>
                <w:kern w:val="40"/>
                <w:sz w:val="24"/>
              </w:rPr>
              <w:t>单位名称</w:t>
            </w:r>
          </w:p>
        </w:tc>
        <w:tc>
          <w:tcPr>
            <w:tcW w:w="7295" w:type="dxa"/>
            <w:gridSpan w:val="1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kern w:val="40"/>
                <w:sz w:val="24"/>
              </w:rPr>
            </w:pPr>
            <w:r>
              <w:rPr>
                <w:rFonts w:eastAsia="黑体"/>
                <w:sz w:val="24"/>
              </w:rPr>
              <w:t>单位地址</w:t>
            </w:r>
          </w:p>
        </w:tc>
        <w:tc>
          <w:tcPr>
            <w:tcW w:w="7295" w:type="dxa"/>
            <w:gridSpan w:val="1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主要业务范围</w:t>
            </w:r>
          </w:p>
        </w:tc>
        <w:tc>
          <w:tcPr>
            <w:tcW w:w="7295" w:type="dxa"/>
            <w:gridSpan w:val="1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法定代表人</w:t>
            </w:r>
          </w:p>
        </w:tc>
        <w:tc>
          <w:tcPr>
            <w:tcW w:w="168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注册号</w:t>
            </w:r>
          </w:p>
        </w:tc>
        <w:tc>
          <w:tcPr>
            <w:tcW w:w="4423" w:type="dxa"/>
            <w:gridSpan w:val="8"/>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单位性质</w:t>
            </w:r>
          </w:p>
        </w:tc>
        <w:tc>
          <w:tcPr>
            <w:tcW w:w="168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联 系 人</w:t>
            </w:r>
          </w:p>
        </w:tc>
        <w:tc>
          <w:tcPr>
            <w:tcW w:w="142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5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联系电话</w:t>
            </w:r>
          </w:p>
        </w:tc>
        <w:tc>
          <w:tcPr>
            <w:tcW w:w="150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经济类型</w:t>
            </w:r>
          </w:p>
        </w:tc>
        <w:tc>
          <w:tcPr>
            <w:tcW w:w="168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邮政编码</w:t>
            </w:r>
          </w:p>
        </w:tc>
        <w:tc>
          <w:tcPr>
            <w:tcW w:w="142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5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成立时间</w:t>
            </w:r>
          </w:p>
        </w:tc>
        <w:tc>
          <w:tcPr>
            <w:tcW w:w="1501"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02"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职</w:t>
            </w:r>
          </w:p>
          <w:p>
            <w:pPr>
              <w:spacing w:line="400" w:lineRule="exact"/>
              <w:jc w:val="center"/>
              <w:rPr>
                <w:rFonts w:eastAsia="黑体"/>
                <w:sz w:val="24"/>
              </w:rPr>
            </w:pPr>
          </w:p>
          <w:p>
            <w:pPr>
              <w:spacing w:line="400" w:lineRule="exact"/>
              <w:jc w:val="center"/>
              <w:rPr>
                <w:rFonts w:eastAsia="黑体"/>
                <w:sz w:val="24"/>
              </w:rPr>
            </w:pPr>
            <w:r>
              <w:rPr>
                <w:rFonts w:eastAsia="黑体"/>
                <w:sz w:val="24"/>
              </w:rPr>
              <w:t>工</w:t>
            </w:r>
          </w:p>
          <w:p>
            <w:pPr>
              <w:spacing w:line="400" w:lineRule="exact"/>
              <w:jc w:val="center"/>
              <w:rPr>
                <w:rFonts w:eastAsia="黑体"/>
                <w:sz w:val="24"/>
              </w:rPr>
            </w:pPr>
          </w:p>
          <w:p>
            <w:pPr>
              <w:spacing w:line="400" w:lineRule="exact"/>
              <w:jc w:val="center"/>
              <w:rPr>
                <w:rFonts w:eastAsia="黑体"/>
                <w:sz w:val="24"/>
              </w:rPr>
            </w:pPr>
            <w:r>
              <w:rPr>
                <w:rFonts w:eastAsia="黑体"/>
                <w:sz w:val="24"/>
              </w:rPr>
              <w:t>概</w:t>
            </w:r>
          </w:p>
          <w:p>
            <w:pPr>
              <w:spacing w:line="400" w:lineRule="exact"/>
              <w:jc w:val="center"/>
              <w:rPr>
                <w:rFonts w:eastAsia="黑体"/>
                <w:sz w:val="24"/>
              </w:rPr>
            </w:pPr>
          </w:p>
          <w:p>
            <w:pPr>
              <w:spacing w:line="400" w:lineRule="exact"/>
              <w:jc w:val="center"/>
              <w:rPr>
                <w:rFonts w:eastAsia="黑体"/>
                <w:sz w:val="24"/>
              </w:rPr>
            </w:pPr>
            <w:r>
              <w:rPr>
                <w:rFonts w:eastAsia="黑体"/>
                <w:sz w:val="24"/>
              </w:rPr>
              <w:t>况</w:t>
            </w:r>
          </w:p>
        </w:tc>
        <w:tc>
          <w:tcPr>
            <w:tcW w:w="19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职工总数</w:t>
            </w:r>
          </w:p>
        </w:tc>
        <w:tc>
          <w:tcPr>
            <w:tcW w:w="186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218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其中：技术人员数</w:t>
            </w:r>
          </w:p>
        </w:tc>
        <w:tc>
          <w:tcPr>
            <w:tcW w:w="22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高级工程师</w:t>
            </w:r>
          </w:p>
        </w:tc>
        <w:tc>
          <w:tcPr>
            <w:tcW w:w="186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218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工程师</w:t>
            </w:r>
          </w:p>
        </w:tc>
        <w:tc>
          <w:tcPr>
            <w:tcW w:w="22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19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助理工程师</w:t>
            </w:r>
          </w:p>
        </w:tc>
        <w:tc>
          <w:tcPr>
            <w:tcW w:w="1869"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2181" w:type="dxa"/>
            <w:gridSpan w:val="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技术员</w:t>
            </w:r>
          </w:p>
        </w:tc>
        <w:tc>
          <w:tcPr>
            <w:tcW w:w="222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8178" w:type="dxa"/>
            <w:gridSpan w:val="14"/>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单位行政及技术人员概况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姓名</w:t>
            </w: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职务/职称</w:t>
            </w: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出生年月</w:t>
            </w: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专业</w:t>
            </w: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上岗证证号</w:t>
            </w: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0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01"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276"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387"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774"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c>
          <w:tcPr>
            <w:tcW w:w="112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p>
        </w:tc>
      </w:tr>
    </w:tbl>
    <w:p>
      <w:pPr>
        <w:jc w:val="left"/>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91"/>
        <w:gridCol w:w="625"/>
        <w:gridCol w:w="368"/>
        <w:gridCol w:w="850"/>
        <w:gridCol w:w="981"/>
        <w:gridCol w:w="1287"/>
        <w:gridCol w:w="1095"/>
        <w:gridCol w:w="183"/>
        <w:gridCol w:w="892"/>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43"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申</w:t>
            </w:r>
          </w:p>
          <w:p>
            <w:pPr>
              <w:spacing w:line="400" w:lineRule="exact"/>
              <w:jc w:val="center"/>
              <w:rPr>
                <w:rFonts w:eastAsia="黑体"/>
                <w:sz w:val="24"/>
              </w:rPr>
            </w:pPr>
            <w:r>
              <w:rPr>
                <w:rFonts w:eastAsia="黑体"/>
                <w:sz w:val="24"/>
              </w:rPr>
              <w:t>请</w:t>
            </w:r>
          </w:p>
          <w:p>
            <w:pPr>
              <w:spacing w:line="400" w:lineRule="exact"/>
              <w:jc w:val="center"/>
              <w:rPr>
                <w:rFonts w:eastAsia="黑体"/>
                <w:sz w:val="24"/>
              </w:rPr>
            </w:pPr>
            <w:r>
              <w:rPr>
                <w:rFonts w:eastAsia="黑体"/>
                <w:sz w:val="24"/>
              </w:rPr>
              <w:t>内</w:t>
            </w:r>
          </w:p>
          <w:p>
            <w:pPr>
              <w:spacing w:line="400" w:lineRule="exact"/>
              <w:jc w:val="center"/>
              <w:rPr>
                <w:rFonts w:eastAsia="黑体"/>
                <w:sz w:val="24"/>
              </w:rPr>
            </w:pPr>
            <w:r>
              <w:rPr>
                <w:rFonts w:eastAsia="黑体"/>
                <w:sz w:val="24"/>
              </w:rPr>
              <w:t>容</w:t>
            </w:r>
          </w:p>
        </w:tc>
        <w:tc>
          <w:tcPr>
            <w:tcW w:w="91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序号</w:t>
            </w:r>
          </w:p>
        </w:tc>
        <w:tc>
          <w:tcPr>
            <w:tcW w:w="219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检验范围</w:t>
            </w:r>
          </w:p>
        </w:tc>
        <w:tc>
          <w:tcPr>
            <w:tcW w:w="25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检测方法</w:t>
            </w:r>
          </w:p>
        </w:tc>
        <w:tc>
          <w:tcPr>
            <w:tcW w:w="212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9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5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2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9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5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2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9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5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2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84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916"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99"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565"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c>
          <w:tcPr>
            <w:tcW w:w="212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647"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主要设备概况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13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检测线名称</w:t>
            </w: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设备名称</w:t>
            </w: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型号</w:t>
            </w: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主要参数</w:t>
            </w: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检定单位</w:t>
            </w: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z w:val="24"/>
              </w:rPr>
            </w:pPr>
            <w:r>
              <w:rPr>
                <w:rFonts w:eastAsia="黑体"/>
                <w:sz w:val="24"/>
              </w:rPr>
              <w:t>有效期至</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eastAsia="黑体"/>
                <w:spacing w:val="-14"/>
                <w:sz w:val="24"/>
              </w:rPr>
            </w:pPr>
            <w:r>
              <w:rPr>
                <w:rFonts w:eastAsia="黑体"/>
                <w:spacing w:val="-14"/>
                <w:sz w:val="24"/>
              </w:rPr>
              <w:t>校准证书编号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color w:val="102401"/>
                <w:kern w:val="0"/>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102401"/>
                <w:kern w:val="0"/>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102401"/>
                <w:kern w:val="0"/>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993"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226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pPr>
          </w:p>
        </w:tc>
        <w:tc>
          <w:tcPr>
            <w:tcW w:w="1075"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8647" w:type="dxa"/>
            <w:gridSpan w:val="11"/>
            <w:tcBorders>
              <w:top w:val="single" w:color="auto" w:sz="4" w:space="0"/>
              <w:left w:val="single" w:color="auto" w:sz="4" w:space="0"/>
              <w:bottom w:val="single" w:color="auto" w:sz="4" w:space="0"/>
              <w:right w:val="single" w:color="auto" w:sz="4" w:space="0"/>
            </w:tcBorders>
            <w:vAlign w:val="center"/>
          </w:tcPr>
          <w:p>
            <w:pPr>
              <w:spacing w:line="400" w:lineRule="exact"/>
              <w:jc w:val="left"/>
              <w:rPr>
                <w:sz w:val="24"/>
              </w:rPr>
            </w:pPr>
            <w:r>
              <w:rPr>
                <w:rFonts w:eastAsia="黑体"/>
                <w:sz w:val="24"/>
              </w:rPr>
              <w:t>承诺：</w:t>
            </w:r>
            <w:r>
              <w:rPr>
                <w:szCs w:val="21"/>
              </w:rPr>
              <w:t>我公司承诺所填写各项内容真实、准确、完整，如有不实，由我公司承担全部责任。</w:t>
            </w:r>
          </w:p>
          <w:p>
            <w:pPr>
              <w:spacing w:line="400" w:lineRule="exact"/>
              <w:jc w:val="left"/>
              <w:rPr>
                <w:sz w:val="24"/>
              </w:rPr>
            </w:pPr>
          </w:p>
          <w:p>
            <w:pPr>
              <w:spacing w:line="400" w:lineRule="exact"/>
              <w:jc w:val="left"/>
              <w:rPr>
                <w:rFonts w:eastAsia="黑体"/>
                <w:sz w:val="24"/>
              </w:rPr>
            </w:pPr>
            <w:r>
              <w:rPr>
                <w:rFonts w:eastAsia="黑体"/>
                <w:sz w:val="24"/>
              </w:rPr>
              <w:t>法定代表人或主要负责人签字（盖章）：</w:t>
            </w:r>
          </w:p>
          <w:p>
            <w:pPr>
              <w:spacing w:line="400" w:lineRule="exact"/>
              <w:jc w:val="center"/>
              <w:rPr>
                <w:rFonts w:eastAsia="黑体"/>
                <w:sz w:val="24"/>
              </w:rPr>
            </w:pPr>
          </w:p>
        </w:tc>
      </w:tr>
    </w:tbl>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spacing w:line="590" w:lineRule="exact"/>
        <w:rPr>
          <w:rFonts w:eastAsia="黑体"/>
          <w:sz w:val="32"/>
          <w:szCs w:val="32"/>
        </w:rPr>
      </w:pPr>
      <w:r>
        <w:rPr>
          <w:rFonts w:eastAsia="黑体"/>
          <w:sz w:val="32"/>
          <w:szCs w:val="32"/>
        </w:rPr>
        <w:t>附件3</w:t>
      </w:r>
    </w:p>
    <w:p>
      <w:pPr>
        <w:spacing w:line="590" w:lineRule="exact"/>
        <w:rPr>
          <w:rFonts w:eastAsia="黑体"/>
        </w:rPr>
      </w:pPr>
    </w:p>
    <w:p>
      <w:pPr>
        <w:adjustRightInd w:val="0"/>
        <w:snapToGrid w:val="0"/>
        <w:spacing w:line="590" w:lineRule="exact"/>
        <w:jc w:val="center"/>
        <w:rPr>
          <w:rFonts w:eastAsia="方正小标宋简体"/>
          <w:bCs/>
          <w:sz w:val="44"/>
          <w:szCs w:val="44"/>
        </w:rPr>
      </w:pPr>
      <w:r>
        <w:rPr>
          <w:rFonts w:eastAsia="方正小标宋简体"/>
          <w:bCs/>
          <w:sz w:val="44"/>
          <w:szCs w:val="44"/>
        </w:rPr>
        <w:t>广州市机动车排气检验机构</w:t>
      </w:r>
    </w:p>
    <w:p>
      <w:pPr>
        <w:adjustRightInd w:val="0"/>
        <w:snapToGrid w:val="0"/>
        <w:spacing w:line="590" w:lineRule="exact"/>
        <w:jc w:val="center"/>
        <w:rPr>
          <w:rFonts w:eastAsia="方正小标宋简体"/>
          <w:bCs/>
          <w:sz w:val="44"/>
          <w:szCs w:val="44"/>
        </w:rPr>
      </w:pPr>
      <w:r>
        <w:rPr>
          <w:rFonts w:eastAsia="方正小标宋简体"/>
          <w:bCs/>
          <w:sz w:val="44"/>
          <w:szCs w:val="44"/>
        </w:rPr>
        <w:t>联网变更信息表</w:t>
      </w:r>
    </w:p>
    <w:p>
      <w:pPr>
        <w:adjustRightInd w:val="0"/>
        <w:snapToGrid w:val="0"/>
        <w:spacing w:line="590" w:lineRule="exact"/>
        <w:rPr>
          <w:b/>
          <w:sz w:val="44"/>
          <w:szCs w:val="44"/>
        </w:rPr>
      </w:pPr>
    </w:p>
    <w:p>
      <w:pPr>
        <w:adjustRightInd w:val="0"/>
        <w:snapToGrid w:val="0"/>
        <w:spacing w:line="590" w:lineRule="exact"/>
        <w:rPr>
          <w:b/>
        </w:rPr>
      </w:pPr>
    </w:p>
    <w:p>
      <w:pPr>
        <w:adjustRightInd w:val="0"/>
        <w:snapToGrid w:val="0"/>
        <w:spacing w:line="590" w:lineRule="exact"/>
        <w:rPr>
          <w:rFonts w:eastAsia="仿宋_GB2312"/>
          <w:b/>
          <w:sz w:val="32"/>
          <w:szCs w:val="32"/>
        </w:rPr>
      </w:pPr>
    </w:p>
    <w:p>
      <w:pPr>
        <w:adjustRightInd w:val="0"/>
        <w:snapToGrid w:val="0"/>
        <w:spacing w:line="590" w:lineRule="exact"/>
        <w:rPr>
          <w:rFonts w:eastAsia="仿宋_GB2312"/>
          <w:b/>
          <w:sz w:val="32"/>
          <w:szCs w:val="32"/>
        </w:rPr>
      </w:pPr>
    </w:p>
    <w:p>
      <w:pPr>
        <w:adjustRightInd w:val="0"/>
        <w:snapToGrid w:val="0"/>
        <w:spacing w:line="590" w:lineRule="exact"/>
        <w:rPr>
          <w:rFonts w:eastAsia="仿宋_GB2312"/>
          <w:b/>
          <w:sz w:val="32"/>
          <w:szCs w:val="32"/>
        </w:rPr>
      </w:pPr>
    </w:p>
    <w:p>
      <w:pPr>
        <w:adjustRightInd w:val="0"/>
        <w:snapToGrid w:val="0"/>
        <w:spacing w:line="590" w:lineRule="exact"/>
        <w:rPr>
          <w:rFonts w:eastAsia="仿宋_GB2312"/>
          <w:b/>
          <w:sz w:val="32"/>
          <w:szCs w:val="32"/>
        </w:rPr>
      </w:pPr>
    </w:p>
    <w:p>
      <w:pPr>
        <w:adjustRightInd w:val="0"/>
        <w:snapToGrid w:val="0"/>
        <w:spacing w:line="590" w:lineRule="exact"/>
        <w:rPr>
          <w:rFonts w:eastAsia="仿宋_GB2312"/>
          <w:b/>
          <w:sz w:val="32"/>
          <w:szCs w:val="32"/>
        </w:rPr>
      </w:pPr>
    </w:p>
    <w:p>
      <w:pPr>
        <w:adjustRightInd w:val="0"/>
        <w:snapToGrid w:val="0"/>
        <w:spacing w:line="590" w:lineRule="exact"/>
        <w:ind w:firstLine="960" w:firstLineChars="300"/>
        <w:rPr>
          <w:rFonts w:eastAsia="黑体"/>
          <w:sz w:val="32"/>
          <w:szCs w:val="32"/>
        </w:rPr>
      </w:pPr>
      <w:r>
        <w:rPr>
          <w:rFonts w:eastAsia="黑体"/>
          <w:sz w:val="32"/>
          <w:szCs w:val="32"/>
        </w:rPr>
        <w:t>申  请  单  位：</w:t>
      </w: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仿宋_GB2312"/>
          <w:sz w:val="32"/>
          <w:szCs w:val="32"/>
        </w:rPr>
      </w:pPr>
      <w:r>
        <w:rPr>
          <w:rFonts w:eastAsia="黑体"/>
          <w:sz w:val="32"/>
          <w:szCs w:val="32"/>
        </w:rPr>
        <w:t>所  在  地  区：</w:t>
      </w:r>
      <w:r>
        <w:rPr>
          <w:rFonts w:eastAsia="仿宋_GB2312"/>
          <w:sz w:val="32"/>
          <w:szCs w:val="32"/>
        </w:rPr>
        <w:t xml:space="preserve">      市       区</w:t>
      </w:r>
    </w:p>
    <w:p>
      <w:pPr>
        <w:adjustRightInd w:val="0"/>
        <w:snapToGrid w:val="0"/>
        <w:spacing w:line="590" w:lineRule="exact"/>
        <w:ind w:firstLine="960" w:firstLineChars="300"/>
        <w:rPr>
          <w:rFonts w:eastAsia="黑体"/>
          <w:sz w:val="32"/>
          <w:szCs w:val="32"/>
        </w:rPr>
      </w:pPr>
    </w:p>
    <w:p>
      <w:pPr>
        <w:adjustRightInd w:val="0"/>
        <w:snapToGrid w:val="0"/>
        <w:spacing w:line="590" w:lineRule="exact"/>
        <w:ind w:firstLine="960" w:firstLineChars="300"/>
        <w:rPr>
          <w:rFonts w:eastAsia="仿宋_GB2312"/>
          <w:sz w:val="32"/>
          <w:szCs w:val="32"/>
        </w:rPr>
      </w:pPr>
      <w:r>
        <w:rPr>
          <w:rFonts w:eastAsia="黑体"/>
          <w:sz w:val="32"/>
          <w:szCs w:val="32"/>
        </w:rPr>
        <w:t>填  报  日  期：</w:t>
      </w:r>
      <w:r>
        <w:rPr>
          <w:rFonts w:eastAsia="仿宋_GB2312"/>
          <w:sz w:val="32"/>
          <w:szCs w:val="32"/>
        </w:rPr>
        <w:t xml:space="preserve">    年    月    日</w:t>
      </w:r>
    </w:p>
    <w:p>
      <w:pPr>
        <w:adjustRightInd w:val="0"/>
        <w:snapToGrid w:val="0"/>
        <w:spacing w:line="590" w:lineRule="exact"/>
      </w:pPr>
    </w:p>
    <w:p>
      <w:pPr>
        <w:adjustRightInd w:val="0"/>
        <w:snapToGrid w:val="0"/>
        <w:spacing w:line="590" w:lineRule="exact"/>
      </w:pPr>
    </w:p>
    <w:p>
      <w:pPr>
        <w:adjustRightInd w:val="0"/>
        <w:snapToGrid w:val="0"/>
        <w:spacing w:line="590" w:lineRule="exact"/>
      </w:pPr>
    </w:p>
    <w:p>
      <w:pPr>
        <w:adjustRightInd w:val="0"/>
        <w:snapToGrid w:val="0"/>
        <w:spacing w:line="590" w:lineRule="exact"/>
      </w:pPr>
    </w:p>
    <w:p>
      <w:pPr>
        <w:adjustRightInd w:val="0"/>
        <w:snapToGrid w:val="0"/>
        <w:spacing w:line="590" w:lineRule="exact"/>
      </w:pPr>
    </w:p>
    <w:p>
      <w:pPr>
        <w:adjustRightInd w:val="0"/>
        <w:snapToGrid w:val="0"/>
        <w:spacing w:line="590" w:lineRule="exact"/>
        <w:jc w:val="center"/>
        <w:rPr>
          <w:rFonts w:eastAsia="楷体"/>
        </w:rPr>
      </w:pPr>
    </w:p>
    <w:p>
      <w:pPr>
        <w:spacing w:line="590" w:lineRule="exact"/>
        <w:jc w:val="center"/>
        <w:rPr>
          <w:rFonts w:eastAsia="黑体"/>
          <w:sz w:val="32"/>
          <w:szCs w:val="32"/>
        </w:rPr>
      </w:pPr>
      <w:r>
        <w:rPr>
          <w:rFonts w:eastAsia="黑体"/>
          <w:sz w:val="32"/>
          <w:szCs w:val="32"/>
        </w:rPr>
        <w:t>填表说明</w:t>
      </w:r>
    </w:p>
    <w:p>
      <w:pPr>
        <w:spacing w:line="590" w:lineRule="exact"/>
        <w:ind w:firstLine="640" w:firstLineChars="200"/>
        <w:rPr>
          <w:rFonts w:eastAsia="仿宋_GB2312"/>
          <w:sz w:val="32"/>
          <w:szCs w:val="32"/>
        </w:rPr>
      </w:pPr>
    </w:p>
    <w:p>
      <w:pPr>
        <w:spacing w:line="590" w:lineRule="exact"/>
        <w:ind w:firstLine="640" w:firstLineChars="200"/>
        <w:rPr>
          <w:rFonts w:eastAsia="仿宋_GB2312"/>
          <w:sz w:val="32"/>
          <w:szCs w:val="32"/>
        </w:rPr>
      </w:pPr>
      <w:r>
        <w:rPr>
          <w:rFonts w:eastAsia="仿宋_GB2312"/>
          <w:sz w:val="32"/>
          <w:szCs w:val="32"/>
        </w:rPr>
        <w:t>一、本表填写一份，盖章有效。</w:t>
      </w:r>
    </w:p>
    <w:p>
      <w:pPr>
        <w:spacing w:line="590" w:lineRule="exact"/>
        <w:ind w:firstLine="640" w:firstLineChars="200"/>
        <w:rPr>
          <w:rFonts w:eastAsia="仿宋_GB2312"/>
          <w:sz w:val="32"/>
          <w:szCs w:val="32"/>
        </w:rPr>
      </w:pPr>
      <w:r>
        <w:rPr>
          <w:rFonts w:eastAsia="仿宋_GB2312"/>
          <w:sz w:val="32"/>
          <w:szCs w:val="32"/>
        </w:rPr>
        <w:t>二、登记单位要如实逐项填报有关情况，不得弄虚作假。</w:t>
      </w:r>
    </w:p>
    <w:p>
      <w:pPr>
        <w:spacing w:line="590" w:lineRule="exact"/>
        <w:ind w:firstLine="640" w:firstLineChars="200"/>
        <w:rPr>
          <w:rFonts w:eastAsia="仿宋_GB2312"/>
          <w:sz w:val="32"/>
          <w:szCs w:val="32"/>
        </w:rPr>
      </w:pPr>
      <w:r>
        <w:rPr>
          <w:rFonts w:eastAsia="仿宋_GB2312"/>
          <w:sz w:val="32"/>
          <w:szCs w:val="32"/>
        </w:rPr>
        <w:t>三、封面“登记单位”一栏须填写单位全称，并加盖本单位公章，单位名称要与所盖公章一致。</w:t>
      </w:r>
    </w:p>
    <w:p>
      <w:pPr>
        <w:spacing w:line="590" w:lineRule="exact"/>
        <w:ind w:firstLine="640" w:firstLineChars="200"/>
        <w:rPr>
          <w:rFonts w:eastAsia="仿宋_GB2312"/>
          <w:sz w:val="32"/>
          <w:szCs w:val="32"/>
        </w:rPr>
      </w:pPr>
      <w:r>
        <w:rPr>
          <w:rFonts w:eastAsia="仿宋_GB2312"/>
          <w:sz w:val="32"/>
          <w:szCs w:val="32"/>
        </w:rPr>
        <w:t>四、“单位地址”、“主要业务范围”、“法定代表人”、“注册号”、“经济类型”、“成立时间”等按工商登记信息对应填写。</w:t>
      </w:r>
    </w:p>
    <w:p>
      <w:pPr>
        <w:spacing w:line="590" w:lineRule="exact"/>
        <w:ind w:firstLine="640" w:firstLineChars="200"/>
        <w:rPr>
          <w:rFonts w:eastAsia="仿宋_GB2312"/>
          <w:sz w:val="32"/>
          <w:szCs w:val="32"/>
        </w:rPr>
      </w:pPr>
      <w:r>
        <w:rPr>
          <w:rFonts w:eastAsia="仿宋_GB2312"/>
          <w:sz w:val="32"/>
          <w:szCs w:val="32"/>
        </w:rPr>
        <w:t>五、 “单位性质”一栏对应填写“安检”或“综检”。</w:t>
      </w:r>
    </w:p>
    <w:p>
      <w:pPr>
        <w:spacing w:line="590" w:lineRule="exact"/>
        <w:ind w:firstLine="640" w:firstLineChars="200"/>
        <w:rPr>
          <w:rFonts w:eastAsia="仿宋_GB2312"/>
          <w:sz w:val="32"/>
          <w:szCs w:val="32"/>
        </w:rPr>
      </w:pPr>
      <w:r>
        <w:rPr>
          <w:rFonts w:eastAsia="仿宋_GB2312"/>
          <w:sz w:val="32"/>
          <w:szCs w:val="32"/>
        </w:rPr>
        <w:t>六、“检验范围”一栏对应填写“汽油车”、“柴油车”；“检测方法”一栏对应填写“简易瞬态工况法、双怠速法、加载减速工况法、自由加速法”等；执行标准填写标准编号。</w:t>
      </w:r>
    </w:p>
    <w:p>
      <w:pPr>
        <w:spacing w:line="590" w:lineRule="exact"/>
        <w:ind w:firstLine="640" w:firstLineChars="200"/>
        <w:rPr>
          <w:rFonts w:eastAsia="仿宋_GB2312"/>
          <w:sz w:val="32"/>
          <w:szCs w:val="32"/>
        </w:rPr>
      </w:pPr>
      <w:r>
        <w:rPr>
          <w:rFonts w:eastAsia="仿宋_GB2312"/>
          <w:sz w:val="32"/>
          <w:szCs w:val="32"/>
        </w:rPr>
        <w:t>七、“变更设备概况”只填写变更后的检测设备的概况。</w:t>
      </w:r>
    </w:p>
    <w:p>
      <w:pPr>
        <w:spacing w:line="590" w:lineRule="exact"/>
        <w:ind w:firstLine="640" w:firstLineChars="200"/>
        <w:rPr>
          <w:rFonts w:eastAsia="仿宋_GB2312"/>
          <w:sz w:val="32"/>
          <w:szCs w:val="32"/>
        </w:rPr>
      </w:pPr>
      <w:r>
        <w:rPr>
          <w:rFonts w:eastAsia="仿宋_GB2312"/>
          <w:sz w:val="32"/>
          <w:szCs w:val="32"/>
        </w:rPr>
        <w:t>八、设备的“主要参数”一栏中，应对应填写：（一）底盘测功机：最大吸收功率、滚筒直径、最大承载质量等有关参数；（二）五气分析仪：量程范围；（三）流量分析仪：名义流量值、温度、压力等有关参数；（四）烟度计：光吸收比、光吸收系数等有关参数；（五）转速计：转速量程范围。</w:t>
      </w:r>
    </w:p>
    <w:p>
      <w:pPr>
        <w:spacing w:line="590" w:lineRule="exact"/>
        <w:ind w:firstLine="640" w:firstLineChars="200"/>
        <w:rPr>
          <w:rFonts w:eastAsia="仿宋_GB2312"/>
          <w:sz w:val="32"/>
          <w:szCs w:val="32"/>
        </w:rPr>
      </w:pPr>
      <w:r>
        <w:rPr>
          <w:rFonts w:eastAsia="仿宋_GB2312"/>
          <w:sz w:val="32"/>
          <w:szCs w:val="32"/>
        </w:rPr>
        <w:t>九、表中栏目不足者可另加附页。</w:t>
      </w:r>
    </w:p>
    <w:p>
      <w:pPr>
        <w:spacing w:line="590" w:lineRule="exact"/>
        <w:ind w:firstLine="640" w:firstLineChars="200"/>
        <w:rPr>
          <w:rFonts w:eastAsia="仿宋_GB2312"/>
          <w:sz w:val="32"/>
          <w:szCs w:val="32"/>
        </w:rPr>
      </w:pPr>
    </w:p>
    <w:p>
      <w:pPr>
        <w:spacing w:line="560" w:lineRule="exact"/>
        <w:ind w:firstLine="420" w:firstLineChars="200"/>
      </w:pPr>
    </w:p>
    <w:p>
      <w:pPr>
        <w:spacing w:line="560" w:lineRule="exact"/>
        <w:ind w:firstLine="420" w:firstLineChars="200"/>
      </w:pPr>
    </w:p>
    <w:p>
      <w:pPr>
        <w:spacing w:line="20" w:lineRule="exact"/>
        <w:rPr>
          <w:rFonts w:eastAsia="黑体"/>
          <w:bCs/>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
        <w:gridCol w:w="843"/>
        <w:gridCol w:w="1308"/>
        <w:gridCol w:w="376"/>
        <w:gridCol w:w="462"/>
        <w:gridCol w:w="726"/>
        <w:gridCol w:w="1421"/>
        <w:gridCol w:w="8"/>
        <w:gridCol w:w="1493"/>
        <w:gridCol w:w="1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kern w:val="40"/>
                <w:sz w:val="24"/>
              </w:rPr>
            </w:pPr>
            <w:r>
              <w:rPr>
                <w:rFonts w:eastAsia="黑体"/>
                <w:kern w:val="40"/>
                <w:sz w:val="24"/>
              </w:rPr>
              <w:t>单位名称</w:t>
            </w:r>
          </w:p>
        </w:tc>
        <w:tc>
          <w:tcPr>
            <w:tcW w:w="7295" w:type="dxa"/>
            <w:gridSpan w:val="8"/>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kern w:val="40"/>
                <w:sz w:val="24"/>
              </w:rPr>
            </w:pPr>
            <w:r>
              <w:rPr>
                <w:rFonts w:eastAsia="黑体"/>
                <w:sz w:val="24"/>
              </w:rPr>
              <w:t>单位地址</w:t>
            </w:r>
          </w:p>
        </w:tc>
        <w:tc>
          <w:tcPr>
            <w:tcW w:w="7295" w:type="dxa"/>
            <w:gridSpan w:val="8"/>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主要业务范围</w:t>
            </w:r>
          </w:p>
        </w:tc>
        <w:tc>
          <w:tcPr>
            <w:tcW w:w="7295" w:type="dxa"/>
            <w:gridSpan w:val="8"/>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法定代表人</w:t>
            </w:r>
          </w:p>
        </w:tc>
        <w:tc>
          <w:tcPr>
            <w:tcW w:w="168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注册号</w:t>
            </w:r>
          </w:p>
        </w:tc>
        <w:tc>
          <w:tcPr>
            <w:tcW w:w="4423" w:type="dxa"/>
            <w:gridSpan w:val="4"/>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单位性质</w:t>
            </w:r>
          </w:p>
        </w:tc>
        <w:tc>
          <w:tcPr>
            <w:tcW w:w="168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联系人</w:t>
            </w:r>
          </w:p>
        </w:tc>
        <w:tc>
          <w:tcPr>
            <w:tcW w:w="14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1501"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联系电话</w:t>
            </w:r>
          </w:p>
        </w:tc>
        <w:tc>
          <w:tcPr>
            <w:tcW w:w="150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85"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经济类型</w:t>
            </w:r>
          </w:p>
        </w:tc>
        <w:tc>
          <w:tcPr>
            <w:tcW w:w="168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1188"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邮政编码</w:t>
            </w:r>
          </w:p>
        </w:tc>
        <w:tc>
          <w:tcPr>
            <w:tcW w:w="14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1501"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成立时间</w:t>
            </w:r>
          </w:p>
        </w:tc>
        <w:tc>
          <w:tcPr>
            <w:tcW w:w="150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已</w:t>
            </w:r>
          </w:p>
          <w:p>
            <w:pPr>
              <w:spacing w:line="420" w:lineRule="exact"/>
              <w:jc w:val="center"/>
              <w:rPr>
                <w:rFonts w:eastAsia="黑体"/>
                <w:sz w:val="24"/>
              </w:rPr>
            </w:pPr>
            <w:r>
              <w:rPr>
                <w:rFonts w:eastAsia="黑体"/>
                <w:sz w:val="24"/>
              </w:rPr>
              <w:t>联</w:t>
            </w:r>
          </w:p>
          <w:p>
            <w:pPr>
              <w:spacing w:line="420" w:lineRule="exact"/>
              <w:jc w:val="center"/>
              <w:rPr>
                <w:rFonts w:eastAsia="黑体"/>
                <w:sz w:val="24"/>
              </w:rPr>
            </w:pPr>
            <w:r>
              <w:rPr>
                <w:rFonts w:eastAsia="黑体"/>
                <w:sz w:val="24"/>
              </w:rPr>
              <w:t>网</w:t>
            </w:r>
          </w:p>
          <w:p>
            <w:pPr>
              <w:spacing w:line="420" w:lineRule="exact"/>
              <w:jc w:val="center"/>
              <w:rPr>
                <w:rFonts w:eastAsia="黑体"/>
                <w:sz w:val="24"/>
              </w:rPr>
            </w:pPr>
            <w:r>
              <w:rPr>
                <w:rFonts w:eastAsia="黑体"/>
                <w:sz w:val="24"/>
              </w:rPr>
              <w:t>检</w:t>
            </w:r>
          </w:p>
          <w:p>
            <w:pPr>
              <w:spacing w:line="420" w:lineRule="exact"/>
              <w:jc w:val="center"/>
              <w:rPr>
                <w:rFonts w:eastAsia="黑体"/>
                <w:sz w:val="24"/>
              </w:rPr>
            </w:pPr>
            <w:r>
              <w:rPr>
                <w:rFonts w:eastAsia="黑体"/>
                <w:sz w:val="24"/>
              </w:rPr>
              <w:t>验</w:t>
            </w:r>
          </w:p>
          <w:p>
            <w:pPr>
              <w:spacing w:line="420" w:lineRule="exact"/>
              <w:jc w:val="center"/>
              <w:rPr>
                <w:rFonts w:eastAsia="黑体"/>
                <w:sz w:val="24"/>
              </w:rPr>
            </w:pPr>
            <w:r>
              <w:rPr>
                <w:rFonts w:eastAsia="黑体"/>
                <w:sz w:val="24"/>
              </w:rPr>
              <w:t>内</w:t>
            </w:r>
          </w:p>
          <w:p>
            <w:pPr>
              <w:spacing w:line="420" w:lineRule="exact"/>
              <w:jc w:val="center"/>
              <w:rPr>
                <w:rFonts w:eastAsia="黑体"/>
                <w:sz w:val="24"/>
              </w:rPr>
            </w:pPr>
            <w:r>
              <w:rPr>
                <w:rFonts w:eastAsia="黑体"/>
                <w:sz w:val="24"/>
              </w:rPr>
              <w:t>容</w:t>
            </w:r>
          </w:p>
        </w:tc>
        <w:tc>
          <w:tcPr>
            <w:tcW w:w="84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序号</w:t>
            </w:r>
          </w:p>
        </w:tc>
        <w:tc>
          <w:tcPr>
            <w:tcW w:w="2146"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检验范围</w:t>
            </w:r>
          </w:p>
        </w:tc>
        <w:tc>
          <w:tcPr>
            <w:tcW w:w="214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检测方法</w:t>
            </w:r>
          </w:p>
        </w:tc>
        <w:tc>
          <w:tcPr>
            <w:tcW w:w="300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84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146"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214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300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84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146"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214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300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84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146"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214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300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843"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146"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2147"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sz w:val="24"/>
              </w:rPr>
            </w:pPr>
          </w:p>
        </w:tc>
        <w:tc>
          <w:tcPr>
            <w:tcW w:w="3002"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变更类型</w:t>
            </w: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变更前</w:t>
            </w: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变更后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firstLine="26" w:firstLineChars="11"/>
              <w:jc w:val="center"/>
              <w:rPr>
                <w:rFonts w:eastAsia="黑体"/>
                <w:sz w:val="24"/>
              </w:rPr>
            </w:pPr>
            <w:r>
              <w:rPr>
                <w:rFonts w:eastAsia="黑体"/>
                <w:sz w:val="24"/>
              </w:rPr>
              <w:t>□新增检测线</w:t>
            </w: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firstLine="26" w:firstLineChars="11"/>
              <w:jc w:val="center"/>
              <w:rPr>
                <w:rFonts w:eastAsia="黑体"/>
                <w:sz w:val="24"/>
              </w:rPr>
            </w:pPr>
            <w:r>
              <w:rPr>
                <w:rFonts w:eastAsia="黑体"/>
                <w:sz w:val="24"/>
              </w:rPr>
              <w:t>□检测线类型</w:t>
            </w: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tcBorders>
              <w:top w:val="single" w:color="auto" w:sz="4" w:space="0"/>
              <w:left w:val="single" w:color="auto" w:sz="4" w:space="0"/>
              <w:bottom w:val="single" w:color="auto" w:sz="4" w:space="0"/>
              <w:right w:val="single" w:color="auto" w:sz="4" w:space="0"/>
            </w:tcBorders>
            <w:vAlign w:val="center"/>
          </w:tcPr>
          <w:p>
            <w:pPr>
              <w:spacing w:line="420" w:lineRule="exact"/>
              <w:ind w:firstLine="26" w:firstLineChars="11"/>
              <w:jc w:val="center"/>
              <w:rPr>
                <w:rFonts w:eastAsia="黑体"/>
                <w:sz w:val="24"/>
              </w:rPr>
            </w:pPr>
            <w:r>
              <w:rPr>
                <w:rFonts w:eastAsia="黑体"/>
                <w:sz w:val="24"/>
              </w:rPr>
              <w:t>□检测线位置</w:t>
            </w: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w:t>
            </w: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□主要检测设备</w:t>
            </w: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3" w:type="dxa"/>
            <w:gridSpan w:val="3"/>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eastAsia="黑体"/>
                <w:sz w:val="24"/>
              </w:rPr>
            </w:pPr>
          </w:p>
        </w:tc>
        <w:tc>
          <w:tcPr>
            <w:tcW w:w="2993" w:type="dxa"/>
            <w:gridSpan w:val="5"/>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c>
          <w:tcPr>
            <w:tcW w:w="2994" w:type="dxa"/>
            <w:gridSpan w:val="2"/>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p>
        </w:tc>
      </w:tr>
    </w:tbl>
    <w:p>
      <w:pPr>
        <w:spacing w:line="240" w:lineRule="exact"/>
      </w:pPr>
    </w:p>
    <w:p>
      <w:pPr>
        <w:spacing w:line="240" w:lineRule="exact"/>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45"/>
        <w:gridCol w:w="850"/>
        <w:gridCol w:w="1985"/>
        <w:gridCol w:w="1095"/>
        <w:gridCol w:w="1464"/>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9205" w:type="dxa"/>
            <w:gridSpan w:val="7"/>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变更设备概况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atLeast"/>
          <w:jc w:val="center"/>
        </w:trPr>
        <w:tc>
          <w:tcPr>
            <w:tcW w:w="113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检测线名称</w:t>
            </w: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设备名称</w:t>
            </w: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型号</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主要参数</w:t>
            </w: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检定</w:t>
            </w:r>
          </w:p>
          <w:p>
            <w:pPr>
              <w:spacing w:line="420" w:lineRule="exact"/>
              <w:jc w:val="center"/>
              <w:rPr>
                <w:rFonts w:eastAsia="黑体"/>
                <w:sz w:val="24"/>
              </w:rPr>
            </w:pPr>
            <w:r>
              <w:rPr>
                <w:rFonts w:eastAsia="黑体"/>
                <w:sz w:val="24"/>
              </w:rPr>
              <w:t>单位</w:t>
            </w: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z w:val="24"/>
              </w:rPr>
            </w:pPr>
            <w:r>
              <w:rPr>
                <w:rFonts w:eastAsia="黑体"/>
                <w:sz w:val="24"/>
              </w:rPr>
              <w:t>有效期至</w:t>
            </w: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eastAsia="黑体"/>
                <w:spacing w:val="-14"/>
                <w:sz w:val="24"/>
              </w:rPr>
            </w:pPr>
            <w:r>
              <w:rPr>
                <w:rFonts w:eastAsia="黑体"/>
                <w:spacing w:val="-14"/>
                <w:sz w:val="24"/>
              </w:rPr>
              <w:t>校准证书编号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1134"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color w:val="102401"/>
                <w:kern w:val="0"/>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102401"/>
                <w:kern w:val="0"/>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102401"/>
                <w:kern w:val="0"/>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restart"/>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szCs w:val="21"/>
              </w:rPr>
            </w:pPr>
          </w:p>
        </w:tc>
        <w:tc>
          <w:tcPr>
            <w:tcW w:w="144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850"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98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095"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pPr>
          </w:p>
        </w:tc>
        <w:tc>
          <w:tcPr>
            <w:tcW w:w="1464"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c>
          <w:tcPr>
            <w:tcW w:w="1232"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6" w:hRule="atLeast"/>
          <w:jc w:val="center"/>
        </w:trPr>
        <w:tc>
          <w:tcPr>
            <w:tcW w:w="9205"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left"/>
              <w:rPr>
                <w:sz w:val="24"/>
              </w:rPr>
            </w:pPr>
            <w:r>
              <w:rPr>
                <w:rFonts w:eastAsia="黑体"/>
                <w:sz w:val="24"/>
              </w:rPr>
              <w:t>承诺：</w:t>
            </w:r>
            <w:r>
              <w:rPr>
                <w:szCs w:val="21"/>
              </w:rPr>
              <w:t>我公司承诺所填写各项内容真实、准确、完整，如有不实，由我公司承担全部责任。</w:t>
            </w:r>
          </w:p>
          <w:p>
            <w:pPr>
              <w:spacing w:line="400" w:lineRule="exact"/>
              <w:jc w:val="left"/>
              <w:rPr>
                <w:sz w:val="24"/>
              </w:rPr>
            </w:pPr>
          </w:p>
          <w:p>
            <w:pPr>
              <w:spacing w:line="400" w:lineRule="exact"/>
              <w:jc w:val="left"/>
              <w:rPr>
                <w:rFonts w:eastAsia="黑体"/>
                <w:sz w:val="24"/>
              </w:rPr>
            </w:pPr>
            <w:r>
              <w:rPr>
                <w:rFonts w:eastAsia="黑体"/>
                <w:sz w:val="24"/>
              </w:rPr>
              <w:t>法定代表人或主要负责人签字（盖章）：</w:t>
            </w:r>
          </w:p>
          <w:p>
            <w:pPr>
              <w:spacing w:line="420" w:lineRule="exact"/>
              <w:jc w:val="center"/>
              <w:rPr>
                <w:rFonts w:eastAsia="黑体"/>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altName w:val="Arial Unicode MS"/>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Fonts w:eastAsia="仿宋_GB2312"/>
        <w:sz w:val="28"/>
      </w:rPr>
    </w:pPr>
    <w:r>
      <w:rPr>
        <w:rStyle w:val="11"/>
        <w:sz w:val="28"/>
      </w:rPr>
      <w:t>―</w:t>
    </w:r>
    <w:r>
      <w:rPr>
        <w:rStyle w:val="11"/>
        <w:rFonts w:eastAsia="仿宋_GB2312"/>
        <w:sz w:val="28"/>
      </w:rPr>
      <w:t xml:space="preserve"> </w:t>
    </w:r>
    <w:r>
      <w:rPr>
        <w:rFonts w:eastAsia="仿宋_GB2312"/>
        <w:sz w:val="28"/>
      </w:rPr>
      <w:fldChar w:fldCharType="begin"/>
    </w:r>
    <w:r>
      <w:rPr>
        <w:rStyle w:val="11"/>
        <w:rFonts w:eastAsia="仿宋_GB2312"/>
        <w:sz w:val="28"/>
      </w:rPr>
      <w:instrText xml:space="preserve">PAGE  </w:instrText>
    </w:r>
    <w:r>
      <w:rPr>
        <w:rFonts w:eastAsia="仿宋_GB2312"/>
        <w:sz w:val="28"/>
      </w:rPr>
      <w:fldChar w:fldCharType="separate"/>
    </w:r>
    <w:r>
      <w:rPr>
        <w:rStyle w:val="11"/>
        <w:rFonts w:eastAsia="仿宋_GB2312"/>
        <w:sz w:val="28"/>
      </w:rPr>
      <w:t>2</w:t>
    </w:r>
    <w:r>
      <w:rPr>
        <w:rFonts w:eastAsia="仿宋_GB2312"/>
        <w:sz w:val="28"/>
      </w:rPr>
      <w:fldChar w:fldCharType="end"/>
    </w:r>
    <w:r>
      <w:rPr>
        <w:rStyle w:val="11"/>
        <w:rFonts w:eastAsia="仿宋_GB2312"/>
        <w:sz w:val="28"/>
      </w:rPr>
      <w:t xml:space="preserve"> </w:t>
    </w:r>
    <w:r>
      <w:rPr>
        <w:rStyle w:val="11"/>
        <w:sz w:val="28"/>
      </w:rPr>
      <w:t>―</w:t>
    </w:r>
  </w:p>
  <w:p>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1"/>
      </w:rPr>
    </w:pPr>
    <w:r>
      <w:fldChar w:fldCharType="begin"/>
    </w:r>
    <w:r>
      <w:rPr>
        <w:rStyle w:val="11"/>
      </w:rPr>
      <w:instrText xml:space="preserve">PAGE  </w:instrText>
    </w:r>
    <w:r>
      <w:fldChar w:fldCharType="end"/>
    </w:r>
  </w:p>
  <w:p>
    <w:pPr>
      <w:pStyle w:val="7"/>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taiwaneseCountingThousand"/>
      <w:pStyle w:val="26"/>
      <w:lvlText w:val="第%1章."/>
      <w:lvlJc w:val="left"/>
      <w:pPr>
        <w:tabs>
          <w:tab w:val="left" w:pos="432"/>
        </w:tabs>
        <w:ind w:left="432" w:hanging="432"/>
      </w:pPr>
      <w:rPr>
        <w:rFonts w:cs="Times New Roman"/>
      </w:rPr>
    </w:lvl>
    <w:lvl w:ilvl="1" w:tentative="0">
      <w:start w:val="1"/>
      <w:numFmt w:val="decimal"/>
      <w:isLgl/>
      <w:lvlText w:val="%1.%2"/>
      <w:lvlJc w:val="left"/>
      <w:pPr>
        <w:tabs>
          <w:tab w:val="left" w:pos="576"/>
        </w:tabs>
        <w:ind w:left="576" w:hanging="576"/>
      </w:pPr>
      <w:rPr>
        <w:rFonts w:cs="Times New Roman"/>
      </w:rPr>
    </w:lvl>
    <w:lvl w:ilvl="2" w:tentative="0">
      <w:start w:val="1"/>
      <w:numFmt w:val="decimal"/>
      <w:isLgl/>
      <w:lvlText w:val="%1.%2.%3"/>
      <w:lvlJc w:val="left"/>
      <w:pPr>
        <w:tabs>
          <w:tab w:val="left" w:pos="720"/>
        </w:tabs>
        <w:ind w:left="720" w:hanging="720"/>
      </w:pPr>
      <w:rPr>
        <w:rFonts w:cs="Times New Roman"/>
      </w:rPr>
    </w:lvl>
    <w:lvl w:ilvl="3" w:tentative="0">
      <w:start w:val="1"/>
      <w:numFmt w:val="decimal"/>
      <w:isLgl/>
      <w:lvlText w:val="%1.%2.%3.%4"/>
      <w:lvlJc w:val="left"/>
      <w:pPr>
        <w:tabs>
          <w:tab w:val="left" w:pos="864"/>
        </w:tabs>
        <w:ind w:left="864" w:hanging="864"/>
      </w:pPr>
      <w:rPr>
        <w:rFonts w:cs="Times New Roman"/>
      </w:rPr>
    </w:lvl>
    <w:lvl w:ilvl="4" w:tentative="0">
      <w:start w:val="1"/>
      <w:numFmt w:val="decimal"/>
      <w:lvlText w:val="%1.%2.%3.%4.%5"/>
      <w:lvlJc w:val="left"/>
      <w:pPr>
        <w:tabs>
          <w:tab w:val="left" w:pos="1008"/>
        </w:tabs>
        <w:ind w:left="1008" w:hanging="1008"/>
      </w:pPr>
      <w:rPr>
        <w:rFonts w:cs="Times New Roman"/>
      </w:rPr>
    </w:lvl>
    <w:lvl w:ilvl="5" w:tentative="0">
      <w:start w:val="1"/>
      <w:numFmt w:val="decimal"/>
      <w:lvlText w:val="%1.%2.%3.%4.%5.%6"/>
      <w:lvlJc w:val="left"/>
      <w:pPr>
        <w:tabs>
          <w:tab w:val="left" w:pos="1152"/>
        </w:tabs>
        <w:ind w:left="1152" w:hanging="1152"/>
      </w:pPr>
      <w:rPr>
        <w:rFonts w:cs="Times New Roman"/>
      </w:rPr>
    </w:lvl>
    <w:lvl w:ilvl="6" w:tentative="0">
      <w:start w:val="1"/>
      <w:numFmt w:val="decimal"/>
      <w:lvlText w:val="%1.%2.%3.%4.%5.%6.%7"/>
      <w:lvlJc w:val="left"/>
      <w:pPr>
        <w:tabs>
          <w:tab w:val="left" w:pos="1296"/>
        </w:tabs>
        <w:ind w:left="1296" w:hanging="1296"/>
      </w:pPr>
      <w:rPr>
        <w:rFonts w:cs="Times New Roman"/>
      </w:rPr>
    </w:lvl>
    <w:lvl w:ilvl="7" w:tentative="0">
      <w:start w:val="1"/>
      <w:numFmt w:val="decimal"/>
      <w:lvlText w:val="%1.%2.%3.%4.%5.%6.%7.%8"/>
      <w:lvlJc w:val="left"/>
      <w:pPr>
        <w:tabs>
          <w:tab w:val="left" w:pos="1440"/>
        </w:tabs>
        <w:ind w:left="1440" w:hanging="1440"/>
      </w:pPr>
      <w:rPr>
        <w:rFonts w:cs="Times New Roman"/>
      </w:rPr>
    </w:lvl>
    <w:lvl w:ilvl="8" w:tentative="0">
      <w:start w:val="1"/>
      <w:numFmt w:val="decimal"/>
      <w:lvlText w:val="%1.%2.%3.%4.%5.%6.%7.%8.%9"/>
      <w:lvlJc w:val="left"/>
      <w:pPr>
        <w:tabs>
          <w:tab w:val="left" w:pos="1584"/>
        </w:tabs>
        <w:ind w:left="1584" w:hanging="1584"/>
      </w:pPr>
      <w:rPr>
        <w:rFonts w:cs="Times New Roman"/>
      </w:rPr>
    </w:lvl>
  </w:abstractNum>
  <w:abstractNum w:abstractNumId="1">
    <w:nsid w:val="5FFE6044"/>
    <w:multiLevelType w:val="singleLevel"/>
    <w:tmpl w:val="5FFE6044"/>
    <w:lvl w:ilvl="0" w:tentative="0">
      <w:start w:val="4"/>
      <w:numFmt w:val="chineseCounting"/>
      <w:suff w:val="space"/>
      <w:lvlText w:val="第%1章"/>
      <w:lvlJc w:val="left"/>
      <w:rPr>
        <w:rFonts w:hint="eastAsia"/>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U0ODljOGM5ZmQ5ZmEyZDBkMDViNzAzNjQ4YjZkZTgifQ=="/>
  </w:docVars>
  <w:rsids>
    <w:rsidRoot w:val="002569D7"/>
    <w:rsid w:val="002569D7"/>
    <w:rsid w:val="007C3DC4"/>
    <w:rsid w:val="405008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uiPriority w:val="0"/>
    <w:pPr>
      <w:spacing w:after="120"/>
    </w:pPr>
    <w:rPr>
      <w:rFonts w:ascii="宋体" w:hAnsi="宋体" w:cstheme="minorBidi"/>
    </w:rPr>
  </w:style>
  <w:style w:type="paragraph" w:styleId="3">
    <w:name w:val="Body Text Indent"/>
    <w:basedOn w:val="1"/>
    <w:link w:val="21"/>
    <w:autoRedefine/>
    <w:qFormat/>
    <w:uiPriority w:val="0"/>
    <w:pPr>
      <w:spacing w:line="560" w:lineRule="exact"/>
      <w:ind w:firstLine="600" w:firstLineChars="200"/>
      <w:outlineLvl w:val="0"/>
    </w:pPr>
    <w:rPr>
      <w:rFonts w:ascii="仿宋_GB2312" w:eastAsia="仿宋_GB2312"/>
      <w:sz w:val="30"/>
    </w:rPr>
  </w:style>
  <w:style w:type="paragraph" w:styleId="4">
    <w:name w:val="Date"/>
    <w:basedOn w:val="1"/>
    <w:next w:val="1"/>
    <w:link w:val="22"/>
    <w:uiPriority w:val="0"/>
    <w:pPr>
      <w:ind w:left="100" w:leftChars="2500"/>
    </w:pPr>
    <w:rPr>
      <w:rFonts w:eastAsia="仿宋_GB2312"/>
      <w:w w:val="99"/>
      <w:sz w:val="32"/>
    </w:rPr>
  </w:style>
  <w:style w:type="paragraph" w:styleId="5">
    <w:name w:val="Body Text Indent 2"/>
    <w:basedOn w:val="1"/>
    <w:link w:val="19"/>
    <w:autoRedefine/>
    <w:qFormat/>
    <w:uiPriority w:val="0"/>
    <w:pPr>
      <w:snapToGrid w:val="0"/>
      <w:spacing w:line="600" w:lineRule="exact"/>
      <w:ind w:firstLine="640" w:firstLineChars="200"/>
    </w:pPr>
    <w:rPr>
      <w:rFonts w:ascii="仿宋_GB2312" w:eastAsia="仿宋_GB2312"/>
      <w:color w:val="FF0000"/>
      <w:sz w:val="32"/>
      <w:szCs w:val="32"/>
    </w:rPr>
  </w:style>
  <w:style w:type="paragraph" w:styleId="6">
    <w:name w:val="Balloon Text"/>
    <w:basedOn w:val="1"/>
    <w:link w:val="20"/>
    <w:autoRedefine/>
    <w:semiHidden/>
    <w:qFormat/>
    <w:uiPriority w:val="0"/>
    <w:rPr>
      <w:rFonts w:asciiTheme="minorHAnsi" w:hAnsiTheme="minorHAnsi" w:cstheme="minorBidi"/>
      <w:sz w:val="18"/>
      <w:szCs w:val="18"/>
    </w:rPr>
  </w:style>
  <w:style w:type="paragraph" w:styleId="7">
    <w:name w:val="footer"/>
    <w:basedOn w:val="1"/>
    <w:link w:val="18"/>
    <w:autoRedefine/>
    <w:qFormat/>
    <w:uiPriority w:val="0"/>
    <w:pPr>
      <w:tabs>
        <w:tab w:val="center" w:pos="4153"/>
        <w:tab w:val="right" w:pos="8306"/>
      </w:tabs>
      <w:snapToGrid w:val="0"/>
      <w:jc w:val="left"/>
    </w:pPr>
    <w:rPr>
      <w:rFonts w:asciiTheme="minorHAnsi" w:hAnsiTheme="minorHAnsi" w:cstheme="minorBidi"/>
      <w:sz w:val="18"/>
      <w:szCs w:val="18"/>
    </w:rPr>
  </w:style>
  <w:style w:type="paragraph" w:styleId="8">
    <w:name w:val="header"/>
    <w:basedOn w:val="1"/>
    <w:link w:val="24"/>
    <w:uiPriority w:val="0"/>
    <w:pPr>
      <w:pBdr>
        <w:bottom w:val="single" w:color="auto" w:sz="6" w:space="1"/>
      </w:pBdr>
      <w:tabs>
        <w:tab w:val="center" w:pos="4153"/>
        <w:tab w:val="right" w:pos="8306"/>
      </w:tabs>
      <w:snapToGrid w:val="0"/>
      <w:jc w:val="center"/>
    </w:pPr>
    <w:rPr>
      <w:rFonts w:asciiTheme="minorHAnsi" w:hAnsiTheme="minorHAnsi" w:cstheme="minorBidi"/>
      <w:sz w:val="18"/>
      <w:szCs w:val="18"/>
    </w:rPr>
  </w:style>
  <w:style w:type="character" w:styleId="11">
    <w:name w:val="page number"/>
    <w:basedOn w:val="10"/>
    <w:uiPriority w:val="0"/>
  </w:style>
  <w:style w:type="character" w:styleId="12">
    <w:name w:val="FollowedHyperlink"/>
    <w:uiPriority w:val="0"/>
    <w:rPr>
      <w:color w:val="800080"/>
      <w:u w:val="single"/>
    </w:rPr>
  </w:style>
  <w:style w:type="character" w:styleId="13">
    <w:name w:val="Hyperlink"/>
    <w:uiPriority w:val="0"/>
    <w:rPr>
      <w:color w:val="0000FF"/>
      <w:u w:val="single"/>
    </w:rPr>
  </w:style>
  <w:style w:type="character" w:customStyle="1" w:styleId="14">
    <w:name w:val="页脚 Char"/>
    <w:link w:val="7"/>
    <w:locked/>
    <w:uiPriority w:val="0"/>
    <w:rPr>
      <w:rFonts w:eastAsia="宋体"/>
      <w:sz w:val="18"/>
      <w:szCs w:val="18"/>
    </w:rPr>
  </w:style>
  <w:style w:type="character" w:customStyle="1" w:styleId="15">
    <w:name w:val="批注框文本 Char"/>
    <w:link w:val="6"/>
    <w:semiHidden/>
    <w:locked/>
    <w:uiPriority w:val="0"/>
    <w:rPr>
      <w:rFonts w:eastAsia="宋体"/>
      <w:sz w:val="18"/>
      <w:szCs w:val="18"/>
    </w:rPr>
  </w:style>
  <w:style w:type="character" w:customStyle="1" w:styleId="16">
    <w:name w:val="页眉 Char"/>
    <w:link w:val="8"/>
    <w:locked/>
    <w:uiPriority w:val="0"/>
    <w:rPr>
      <w:rFonts w:eastAsia="宋体"/>
      <w:sz w:val="18"/>
      <w:szCs w:val="18"/>
    </w:rPr>
  </w:style>
  <w:style w:type="character" w:customStyle="1" w:styleId="17">
    <w:name w:val="正文文本 Char"/>
    <w:link w:val="2"/>
    <w:locked/>
    <w:uiPriority w:val="0"/>
    <w:rPr>
      <w:rFonts w:ascii="宋体" w:hAnsi="宋体" w:eastAsia="宋体"/>
      <w:szCs w:val="24"/>
    </w:rPr>
  </w:style>
  <w:style w:type="character" w:customStyle="1" w:styleId="18">
    <w:name w:val="页脚 Char1"/>
    <w:basedOn w:val="10"/>
    <w:link w:val="7"/>
    <w:autoRedefine/>
    <w:semiHidden/>
    <w:qFormat/>
    <w:uiPriority w:val="99"/>
    <w:rPr>
      <w:rFonts w:ascii="Times New Roman" w:hAnsi="Times New Roman" w:eastAsia="宋体" w:cs="Times New Roman"/>
      <w:sz w:val="18"/>
      <w:szCs w:val="18"/>
    </w:rPr>
  </w:style>
  <w:style w:type="character" w:customStyle="1" w:styleId="19">
    <w:name w:val="正文文本缩进 2 Char"/>
    <w:basedOn w:val="10"/>
    <w:link w:val="5"/>
    <w:autoRedefine/>
    <w:qFormat/>
    <w:uiPriority w:val="0"/>
    <w:rPr>
      <w:rFonts w:ascii="仿宋_GB2312" w:hAnsi="Times New Roman" w:eastAsia="仿宋_GB2312" w:cs="Times New Roman"/>
      <w:color w:val="FF0000"/>
      <w:sz w:val="32"/>
      <w:szCs w:val="32"/>
    </w:rPr>
  </w:style>
  <w:style w:type="character" w:customStyle="1" w:styleId="20">
    <w:name w:val="批注框文本 Char1"/>
    <w:basedOn w:val="10"/>
    <w:link w:val="6"/>
    <w:autoRedefine/>
    <w:semiHidden/>
    <w:qFormat/>
    <w:uiPriority w:val="99"/>
    <w:rPr>
      <w:rFonts w:ascii="Times New Roman" w:hAnsi="Times New Roman" w:eastAsia="宋体" w:cs="Times New Roman"/>
      <w:sz w:val="18"/>
      <w:szCs w:val="18"/>
    </w:rPr>
  </w:style>
  <w:style w:type="character" w:customStyle="1" w:styleId="21">
    <w:name w:val="正文文本缩进 Char"/>
    <w:basedOn w:val="10"/>
    <w:link w:val="3"/>
    <w:autoRedefine/>
    <w:qFormat/>
    <w:uiPriority w:val="0"/>
    <w:rPr>
      <w:rFonts w:ascii="仿宋_GB2312" w:hAnsi="Times New Roman" w:eastAsia="仿宋_GB2312" w:cs="Times New Roman"/>
      <w:sz w:val="30"/>
      <w:szCs w:val="24"/>
    </w:rPr>
  </w:style>
  <w:style w:type="character" w:customStyle="1" w:styleId="22">
    <w:name w:val="日期 Char"/>
    <w:basedOn w:val="10"/>
    <w:link w:val="4"/>
    <w:uiPriority w:val="0"/>
    <w:rPr>
      <w:rFonts w:ascii="Times New Roman" w:hAnsi="Times New Roman" w:eastAsia="仿宋_GB2312" w:cs="Times New Roman"/>
      <w:w w:val="99"/>
      <w:sz w:val="32"/>
      <w:szCs w:val="24"/>
    </w:rPr>
  </w:style>
  <w:style w:type="character" w:customStyle="1" w:styleId="23">
    <w:name w:val="正文文本 Char1"/>
    <w:basedOn w:val="10"/>
    <w:link w:val="2"/>
    <w:semiHidden/>
    <w:uiPriority w:val="99"/>
    <w:rPr>
      <w:rFonts w:ascii="Times New Roman" w:hAnsi="Times New Roman" w:eastAsia="宋体" w:cs="Times New Roman"/>
      <w:szCs w:val="24"/>
    </w:rPr>
  </w:style>
  <w:style w:type="character" w:customStyle="1" w:styleId="24">
    <w:name w:val="页眉 Char1"/>
    <w:basedOn w:val="10"/>
    <w:link w:val="8"/>
    <w:semiHidden/>
    <w:uiPriority w:val="99"/>
    <w:rPr>
      <w:rFonts w:ascii="Times New Roman" w:hAnsi="Times New Roman" w:eastAsia="宋体" w:cs="Times New Roman"/>
      <w:sz w:val="18"/>
      <w:szCs w:val="18"/>
    </w:rPr>
  </w:style>
  <w:style w:type="paragraph" w:customStyle="1" w:styleId="25">
    <w:name w:val="Char"/>
    <w:basedOn w:val="1"/>
    <w:uiPriority w:val="0"/>
  </w:style>
  <w:style w:type="paragraph" w:customStyle="1" w:styleId="26">
    <w:name w:val="默认段落字体 Para Char Char Char Char Char Char Char"/>
    <w:basedOn w:val="1"/>
    <w:uiPriority w:val="0"/>
    <w:pPr>
      <w:numPr>
        <w:ilvl w:val="0"/>
        <w:numId w:val="1"/>
      </w:numPr>
    </w:pPr>
    <w:rPr>
      <w:rFonts w:ascii="Tahoma" w:hAnsi="Tahoma"/>
      <w:sz w:val="24"/>
      <w:szCs w:val="20"/>
    </w:rPr>
  </w:style>
  <w:style w:type="paragraph" w:customStyle="1" w:styleId="27">
    <w:name w:val="_Style 6"/>
    <w:basedOn w:val="1"/>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36</Pages>
  <Words>2316</Words>
  <Characters>13204</Characters>
  <Lines>110</Lines>
  <Paragraphs>30</Paragraphs>
  <TotalTime>1</TotalTime>
  <ScaleCrop>false</ScaleCrop>
  <LinksUpToDate>false</LinksUpToDate>
  <CharactersWithSpaces>15490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2019-12-04T09:32:00Z</dcterms:created>
  <dc:creator>⠘Ѡ耀Чǀй⠈Ѡ⠠ѠҘй⟐Ѡ褨ࢼ幌輀ФퟠЩ</dc:creator>
  <cp:lastModifiedBy>霍泽铭</cp:lastModifiedBy>
  <dcterms:modified xsi:type="dcterms:W3CDTF">2024-02-18T06:46:06Z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1273AD24B3064E5C8BBE7A266275FDDB_13</vt:lpwstr>
  </property>
</Properties>
</file>